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34F" w:rsidRPr="0072134F" w:rsidRDefault="0072134F" w:rsidP="000117CF">
      <w:pPr>
        <w:spacing w:before="1050" w:after="0" w:line="240" w:lineRule="auto"/>
        <w:jc w:val="center"/>
        <w:outlineLvl w:val="0"/>
        <w:rPr>
          <w:rFonts w:ascii="Arial" w:eastAsia="Times New Roman" w:hAnsi="Arial" w:cs="Arial"/>
          <w:b/>
          <w:bCs/>
          <w:kern w:val="36"/>
          <w:sz w:val="48"/>
          <w:szCs w:val="48"/>
        </w:rPr>
      </w:pPr>
      <w:bookmarkStart w:id="0" w:name="_GoBack"/>
      <w:r w:rsidRPr="0072134F">
        <w:rPr>
          <w:rFonts w:ascii="Arial" w:eastAsia="Times New Roman" w:hAnsi="Arial" w:cs="Arial"/>
          <w:b/>
          <w:bCs/>
          <w:kern w:val="36"/>
          <w:sz w:val="48"/>
          <w:szCs w:val="48"/>
        </w:rPr>
        <w:t>The Major Changes in the New Republican Tax Code</w:t>
      </w:r>
    </w:p>
    <w:bookmarkEnd w:id="0"/>
    <w:p w:rsidR="0072134F" w:rsidRPr="0072134F" w:rsidRDefault="0072134F" w:rsidP="0072134F">
      <w:pPr>
        <w:spacing w:before="150" w:after="270" w:line="240" w:lineRule="auto"/>
        <w:rPr>
          <w:rFonts w:ascii="Arial" w:eastAsia="Times New Roman" w:hAnsi="Arial" w:cs="Arial"/>
          <w:color w:val="3C3C3C"/>
        </w:rPr>
      </w:pPr>
      <w:r w:rsidRPr="0072134F">
        <w:rPr>
          <w:rFonts w:ascii="Arial" w:eastAsia="Times New Roman" w:hAnsi="Arial" w:cs="Arial"/>
          <w:color w:val="3C3C3C"/>
        </w:rPr>
        <w:t>Congressional Republicans fulfilled one of their biggest and most long-awaited goals: an overhaul of the tax code. Their changes—which were signed by President Donald Trump on Friday—cut corporate taxes permanently and provide temporary cuts for individuals.</w:t>
      </w: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Income Tax Brackets</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Individual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6B221"/>
        </w:rPr>
        <w:t>REVISE</w:t>
      </w:r>
    </w:p>
    <w:p w:rsidR="0072134F" w:rsidRPr="000117C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t>There are </w:t>
      </w:r>
      <w:r w:rsidRPr="0072134F">
        <w:rPr>
          <w:rFonts w:ascii="Arial" w:eastAsia="Times New Roman" w:hAnsi="Arial" w:cs="Arial"/>
          <w:b/>
          <w:bCs/>
          <w:color w:val="2D2D35"/>
        </w:rPr>
        <w:t>seven</w:t>
      </w:r>
      <w:r w:rsidRPr="0072134F">
        <w:rPr>
          <w:rFonts w:ascii="Arial" w:eastAsia="Times New Roman" w:hAnsi="Arial" w:cs="Arial"/>
          <w:color w:val="2D2D35"/>
        </w:rPr>
        <w:t> tax brackets, starting at 10 percent and reaching </w:t>
      </w:r>
      <w:r w:rsidRPr="0072134F">
        <w:rPr>
          <w:rFonts w:ascii="Arial" w:eastAsia="Times New Roman" w:hAnsi="Arial" w:cs="Arial"/>
          <w:b/>
          <w:bCs/>
          <w:color w:val="2D2D35"/>
        </w:rPr>
        <w:t>39.6 percent</w:t>
      </w:r>
      <w:r w:rsidRPr="0072134F">
        <w:rPr>
          <w:rFonts w:ascii="Arial" w:eastAsia="Times New Roman" w:hAnsi="Arial" w:cs="Arial"/>
          <w:color w:val="2D2D35"/>
        </w:rPr>
        <w:t> for incomes above </w:t>
      </w:r>
      <w:r w:rsidRPr="0072134F">
        <w:rPr>
          <w:rFonts w:ascii="Arial" w:eastAsia="Times New Roman" w:hAnsi="Arial" w:cs="Arial"/>
          <w:b/>
          <w:bCs/>
          <w:color w:val="2D2D35"/>
        </w:rPr>
        <w:t>$418,400 for singles</w:t>
      </w:r>
      <w:r w:rsidRPr="0072134F">
        <w:rPr>
          <w:rFonts w:ascii="Arial" w:eastAsia="Times New Roman" w:hAnsi="Arial" w:cs="Arial"/>
          <w:color w:val="2D2D35"/>
        </w:rPr>
        <w:t> and </w:t>
      </w:r>
      <w:r w:rsidRPr="0072134F">
        <w:rPr>
          <w:rFonts w:ascii="Arial" w:eastAsia="Times New Roman" w:hAnsi="Arial" w:cs="Arial"/>
          <w:b/>
          <w:bCs/>
          <w:color w:val="2D2D35"/>
        </w:rPr>
        <w:t>$470,700 for joint filers</w:t>
      </w:r>
      <w:r w:rsidRPr="0072134F">
        <w:rPr>
          <w:rFonts w:ascii="Arial" w:eastAsia="Times New Roman" w:hAnsi="Arial" w:cs="Arial"/>
          <w:color w:val="2D2D35"/>
        </w:rPr>
        <w:t>.</w:t>
      </w: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Previous</w:t>
      </w:r>
    </w:p>
    <w:tbl>
      <w:tblPr>
        <w:tblW w:w="5760" w:type="dxa"/>
        <w:tblCellMar>
          <w:left w:w="0" w:type="dxa"/>
          <w:right w:w="0" w:type="dxa"/>
        </w:tblCellMar>
        <w:tblLook w:val="04A0" w:firstRow="1" w:lastRow="0" w:firstColumn="1" w:lastColumn="0" w:noHBand="0" w:noVBand="1"/>
      </w:tblPr>
      <w:tblGrid>
        <w:gridCol w:w="834"/>
        <w:gridCol w:w="2376"/>
        <w:gridCol w:w="2550"/>
      </w:tblGrid>
      <w:tr w:rsidR="0072134F" w:rsidRPr="0072134F" w:rsidTr="0072134F">
        <w:tc>
          <w:tcPr>
            <w:tcW w:w="0" w:type="auto"/>
            <w:tcBorders>
              <w:bottom w:val="single" w:sz="6" w:space="0" w:color="000000"/>
            </w:tcBorders>
            <w:tcMar>
              <w:top w:w="75" w:type="dxa"/>
              <w:left w:w="0" w:type="dxa"/>
              <w:bottom w:w="75" w:type="dxa"/>
              <w:right w:w="75" w:type="dxa"/>
            </w:tcMar>
            <w:vAlign w:val="center"/>
            <w:hideMark/>
          </w:tcPr>
          <w:p w:rsidR="0072134F" w:rsidRPr="0072134F" w:rsidRDefault="0072134F" w:rsidP="0072134F">
            <w:pPr>
              <w:spacing w:after="0" w:line="240" w:lineRule="auto"/>
              <w:rPr>
                <w:rFonts w:ascii="Arial" w:eastAsia="Times New Roman" w:hAnsi="Arial" w:cs="Arial"/>
                <w:b/>
                <w:color w:val="2D2D35"/>
              </w:rPr>
            </w:pPr>
            <w:r w:rsidRPr="0072134F">
              <w:rPr>
                <w:rFonts w:ascii="Arial" w:eastAsia="Times New Roman" w:hAnsi="Arial" w:cs="Arial"/>
                <w:b/>
                <w:bCs/>
              </w:rPr>
              <w:t>Rate</w:t>
            </w:r>
          </w:p>
        </w:tc>
        <w:tc>
          <w:tcPr>
            <w:tcW w:w="0" w:type="auto"/>
            <w:tcBorders>
              <w:bottom w:val="single" w:sz="6" w:space="0" w:color="000000"/>
            </w:tcBorders>
            <w:tcMar>
              <w:top w:w="75" w:type="dxa"/>
              <w:left w:w="0" w:type="dxa"/>
              <w:bottom w:w="75" w:type="dxa"/>
              <w:right w:w="75" w:type="dxa"/>
            </w:tcMar>
            <w:vAlign w:val="center"/>
            <w:hideMark/>
          </w:tcPr>
          <w:p w:rsidR="0072134F" w:rsidRPr="0072134F" w:rsidRDefault="0072134F" w:rsidP="0072134F">
            <w:pPr>
              <w:spacing w:after="0" w:line="240" w:lineRule="auto"/>
              <w:jc w:val="center"/>
              <w:rPr>
                <w:rFonts w:ascii="Arial" w:eastAsia="Times New Roman" w:hAnsi="Arial" w:cs="Arial"/>
                <w:b/>
                <w:bCs/>
              </w:rPr>
            </w:pPr>
            <w:r w:rsidRPr="0072134F">
              <w:rPr>
                <w:rFonts w:ascii="Arial" w:eastAsia="Times New Roman" w:hAnsi="Arial" w:cs="Arial"/>
                <w:b/>
                <w:bCs/>
              </w:rPr>
              <w:t>Single</w:t>
            </w:r>
          </w:p>
        </w:tc>
        <w:tc>
          <w:tcPr>
            <w:tcW w:w="0" w:type="auto"/>
            <w:tcBorders>
              <w:bottom w:val="single" w:sz="6" w:space="0" w:color="000000"/>
            </w:tcBorders>
            <w:tcMar>
              <w:top w:w="75" w:type="dxa"/>
              <w:left w:w="0" w:type="dxa"/>
              <w:bottom w:w="75" w:type="dxa"/>
              <w:right w:w="75" w:type="dxa"/>
            </w:tcMar>
            <w:vAlign w:val="center"/>
            <w:hideMark/>
          </w:tcPr>
          <w:p w:rsidR="0072134F" w:rsidRPr="0072134F" w:rsidRDefault="0072134F" w:rsidP="0072134F">
            <w:pPr>
              <w:spacing w:after="0" w:line="240" w:lineRule="auto"/>
              <w:jc w:val="center"/>
              <w:rPr>
                <w:rFonts w:ascii="Arial" w:eastAsia="Times New Roman" w:hAnsi="Arial" w:cs="Arial"/>
                <w:b/>
                <w:bCs/>
              </w:rPr>
            </w:pPr>
            <w:r w:rsidRPr="0072134F">
              <w:rPr>
                <w:rFonts w:ascii="Arial" w:eastAsia="Times New Roman" w:hAnsi="Arial" w:cs="Arial"/>
                <w:b/>
                <w:bCs/>
              </w:rPr>
              <w:t>Married, filing jointly</w:t>
            </w:r>
          </w:p>
        </w:tc>
      </w:tr>
      <w:tr w:rsidR="0072134F" w:rsidRPr="0072134F" w:rsidTr="0072134F">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10%</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Up to $9,325</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Up to $18,650</w:t>
            </w:r>
          </w:p>
        </w:tc>
      </w:tr>
      <w:tr w:rsidR="0072134F" w:rsidRPr="0072134F" w:rsidTr="0072134F">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15%</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$9,325–$37,950</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$18,650–$75,900</w:t>
            </w:r>
          </w:p>
        </w:tc>
      </w:tr>
      <w:tr w:rsidR="0072134F" w:rsidRPr="0072134F" w:rsidTr="0072134F">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25%</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$37,950–$91,900</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$75,900–$153,100</w:t>
            </w:r>
          </w:p>
        </w:tc>
      </w:tr>
      <w:tr w:rsidR="0072134F" w:rsidRPr="0072134F" w:rsidTr="0072134F">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28%</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$91,900–$191,650</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$153,100–$233,350</w:t>
            </w:r>
          </w:p>
        </w:tc>
      </w:tr>
      <w:tr w:rsidR="0072134F" w:rsidRPr="0072134F" w:rsidTr="0072134F">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33%</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$191,650–$416,700</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$233,350–$416,700</w:t>
            </w:r>
          </w:p>
        </w:tc>
      </w:tr>
      <w:tr w:rsidR="0072134F" w:rsidRPr="0072134F" w:rsidTr="0072134F">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35%</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$416,700–$418,400</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$416,700–$470,700</w:t>
            </w:r>
          </w:p>
        </w:tc>
      </w:tr>
      <w:tr w:rsidR="0072134F" w:rsidRPr="0072134F" w:rsidTr="0072134F">
        <w:tc>
          <w:tcPr>
            <w:tcW w:w="0" w:type="auto"/>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39.6%</w:t>
            </w:r>
          </w:p>
        </w:tc>
        <w:tc>
          <w:tcPr>
            <w:tcW w:w="0" w:type="auto"/>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More than $418,400</w:t>
            </w:r>
          </w:p>
        </w:tc>
        <w:tc>
          <w:tcPr>
            <w:tcW w:w="0" w:type="auto"/>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More than $470,700</w:t>
            </w:r>
          </w:p>
        </w:tc>
      </w:tr>
    </w:tbl>
    <w:p w:rsidR="0072134F" w:rsidRPr="000117CF" w:rsidRDefault="0072134F" w:rsidP="0072134F">
      <w:pPr>
        <w:spacing w:line="240" w:lineRule="auto"/>
        <w:rPr>
          <w:rFonts w:ascii="Arial" w:eastAsia="Times New Roman" w:hAnsi="Arial" w:cs="Arial"/>
          <w:color w:val="2D2D35"/>
        </w:rPr>
      </w:pP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72134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t>It will maintain </w:t>
      </w:r>
      <w:r w:rsidRPr="0072134F">
        <w:rPr>
          <w:rFonts w:ascii="Arial" w:eastAsia="Times New Roman" w:hAnsi="Arial" w:cs="Arial"/>
          <w:b/>
          <w:bCs/>
          <w:color w:val="2D2D35"/>
        </w:rPr>
        <w:t>seven</w:t>
      </w:r>
      <w:r w:rsidRPr="0072134F">
        <w:rPr>
          <w:rFonts w:ascii="Arial" w:eastAsia="Times New Roman" w:hAnsi="Arial" w:cs="Arial"/>
          <w:color w:val="2D2D35"/>
        </w:rPr>
        <w:t> tax brackets, starting at 10 percent and reaching </w:t>
      </w:r>
      <w:r w:rsidRPr="0072134F">
        <w:rPr>
          <w:rFonts w:ascii="Arial" w:eastAsia="Times New Roman" w:hAnsi="Arial" w:cs="Arial"/>
          <w:b/>
          <w:bCs/>
          <w:color w:val="2D2D35"/>
        </w:rPr>
        <w:t>37 percent</w:t>
      </w:r>
      <w:r w:rsidRPr="0072134F">
        <w:rPr>
          <w:rFonts w:ascii="Arial" w:eastAsia="Times New Roman" w:hAnsi="Arial" w:cs="Arial"/>
          <w:color w:val="2D2D35"/>
        </w:rPr>
        <w:t> for incomes above </w:t>
      </w:r>
      <w:r w:rsidRPr="0072134F">
        <w:rPr>
          <w:rFonts w:ascii="Arial" w:eastAsia="Times New Roman" w:hAnsi="Arial" w:cs="Arial"/>
          <w:b/>
          <w:bCs/>
          <w:color w:val="2D2D35"/>
        </w:rPr>
        <w:t>$500,000 for singles</w:t>
      </w:r>
      <w:r w:rsidRPr="0072134F">
        <w:rPr>
          <w:rFonts w:ascii="Arial" w:eastAsia="Times New Roman" w:hAnsi="Arial" w:cs="Arial"/>
          <w:color w:val="2D2D35"/>
        </w:rPr>
        <w:t> and </w:t>
      </w:r>
      <w:r w:rsidRPr="0072134F">
        <w:rPr>
          <w:rFonts w:ascii="Arial" w:eastAsia="Times New Roman" w:hAnsi="Arial" w:cs="Arial"/>
          <w:b/>
          <w:bCs/>
          <w:color w:val="2D2D35"/>
        </w:rPr>
        <w:t>$600,000 for joint filers</w:t>
      </w:r>
      <w:r w:rsidRPr="0072134F">
        <w:rPr>
          <w:rFonts w:ascii="Arial" w:eastAsia="Times New Roman" w:hAnsi="Arial" w:cs="Arial"/>
          <w:color w:val="2D2D35"/>
        </w:rPr>
        <w:t> </w:t>
      </w:r>
      <w:proofErr w:type="gramStart"/>
      <w:r w:rsidRPr="0072134F">
        <w:rPr>
          <w:rFonts w:ascii="Arial" w:eastAsia="Times New Roman" w:hAnsi="Arial" w:cs="Arial"/>
          <w:color w:val="2D2D35"/>
        </w:rPr>
        <w:t>The</w:t>
      </w:r>
      <w:proofErr w:type="gramEnd"/>
      <w:r w:rsidRPr="0072134F">
        <w:rPr>
          <w:rFonts w:ascii="Arial" w:eastAsia="Times New Roman" w:hAnsi="Arial" w:cs="Arial"/>
          <w:color w:val="2D2D35"/>
        </w:rPr>
        <w:t xml:space="preserve"> changes will begin in </w:t>
      </w:r>
      <w:r w:rsidRPr="0072134F">
        <w:rPr>
          <w:rFonts w:ascii="Arial" w:eastAsia="Times New Roman" w:hAnsi="Arial" w:cs="Arial"/>
          <w:b/>
          <w:bCs/>
          <w:color w:val="2D2D35"/>
        </w:rPr>
        <w:t>2018</w:t>
      </w:r>
      <w:r w:rsidRPr="0072134F">
        <w:rPr>
          <w:rFonts w:ascii="Arial" w:eastAsia="Times New Roman" w:hAnsi="Arial" w:cs="Arial"/>
          <w:color w:val="2D2D35"/>
        </w:rPr>
        <w:t> and expire after </w:t>
      </w:r>
      <w:r w:rsidRPr="0072134F">
        <w:rPr>
          <w:rFonts w:ascii="Arial" w:eastAsia="Times New Roman" w:hAnsi="Arial" w:cs="Arial"/>
          <w:b/>
          <w:bCs/>
          <w:color w:val="2D2D35"/>
        </w:rPr>
        <w:t>2025</w:t>
      </w:r>
      <w:r w:rsidRPr="0072134F">
        <w:rPr>
          <w:rFonts w:ascii="Arial" w:eastAsia="Times New Roman" w:hAnsi="Arial" w:cs="Arial"/>
          <w:color w:val="2D2D35"/>
        </w:rPr>
        <w:t>.</w:t>
      </w:r>
    </w:p>
    <w:tbl>
      <w:tblPr>
        <w:tblW w:w="5760" w:type="dxa"/>
        <w:tblCellMar>
          <w:left w:w="0" w:type="dxa"/>
          <w:right w:w="0" w:type="dxa"/>
        </w:tblCellMar>
        <w:tblLook w:val="04A0" w:firstRow="1" w:lastRow="0" w:firstColumn="1" w:lastColumn="0" w:noHBand="0" w:noVBand="1"/>
      </w:tblPr>
      <w:tblGrid>
        <w:gridCol w:w="703"/>
        <w:gridCol w:w="2222"/>
        <w:gridCol w:w="2835"/>
      </w:tblGrid>
      <w:tr w:rsidR="0072134F" w:rsidRPr="0072134F" w:rsidTr="0072134F">
        <w:tc>
          <w:tcPr>
            <w:tcW w:w="0" w:type="auto"/>
            <w:tcBorders>
              <w:bottom w:val="single" w:sz="6" w:space="0" w:color="000000"/>
            </w:tcBorders>
            <w:tcMar>
              <w:top w:w="75" w:type="dxa"/>
              <w:left w:w="0" w:type="dxa"/>
              <w:bottom w:w="75" w:type="dxa"/>
              <w:right w:w="75" w:type="dxa"/>
            </w:tcMar>
            <w:vAlign w:val="center"/>
            <w:hideMark/>
          </w:tcPr>
          <w:p w:rsidR="0072134F" w:rsidRPr="0072134F" w:rsidRDefault="0072134F" w:rsidP="0072134F">
            <w:pPr>
              <w:spacing w:after="0" w:line="240" w:lineRule="auto"/>
              <w:jc w:val="center"/>
              <w:rPr>
                <w:rFonts w:ascii="Arial" w:eastAsia="Times New Roman" w:hAnsi="Arial" w:cs="Arial"/>
                <w:b/>
                <w:bCs/>
              </w:rPr>
            </w:pPr>
            <w:r w:rsidRPr="0072134F">
              <w:rPr>
                <w:rFonts w:ascii="Arial" w:eastAsia="Times New Roman" w:hAnsi="Arial" w:cs="Arial"/>
                <w:b/>
                <w:bCs/>
              </w:rPr>
              <w:t>Rate</w:t>
            </w:r>
          </w:p>
        </w:tc>
        <w:tc>
          <w:tcPr>
            <w:tcW w:w="0" w:type="auto"/>
            <w:tcBorders>
              <w:bottom w:val="single" w:sz="6" w:space="0" w:color="000000"/>
            </w:tcBorders>
            <w:tcMar>
              <w:top w:w="75" w:type="dxa"/>
              <w:left w:w="0" w:type="dxa"/>
              <w:bottom w:w="75" w:type="dxa"/>
              <w:right w:w="75" w:type="dxa"/>
            </w:tcMar>
            <w:vAlign w:val="center"/>
            <w:hideMark/>
          </w:tcPr>
          <w:p w:rsidR="0072134F" w:rsidRPr="0072134F" w:rsidRDefault="0072134F" w:rsidP="0072134F">
            <w:pPr>
              <w:spacing w:after="0" w:line="240" w:lineRule="auto"/>
              <w:jc w:val="center"/>
              <w:rPr>
                <w:rFonts w:ascii="Arial" w:eastAsia="Times New Roman" w:hAnsi="Arial" w:cs="Arial"/>
                <w:b/>
                <w:bCs/>
              </w:rPr>
            </w:pPr>
            <w:r w:rsidRPr="0072134F">
              <w:rPr>
                <w:rFonts w:ascii="Arial" w:eastAsia="Times New Roman" w:hAnsi="Arial" w:cs="Arial"/>
                <w:b/>
                <w:bCs/>
              </w:rPr>
              <w:t>Single</w:t>
            </w:r>
          </w:p>
        </w:tc>
        <w:tc>
          <w:tcPr>
            <w:tcW w:w="0" w:type="auto"/>
            <w:tcBorders>
              <w:bottom w:val="single" w:sz="6" w:space="0" w:color="000000"/>
            </w:tcBorders>
            <w:tcMar>
              <w:top w:w="75" w:type="dxa"/>
              <w:left w:w="0" w:type="dxa"/>
              <w:bottom w:w="75" w:type="dxa"/>
              <w:right w:w="75" w:type="dxa"/>
            </w:tcMar>
            <w:vAlign w:val="center"/>
            <w:hideMark/>
          </w:tcPr>
          <w:p w:rsidR="0072134F" w:rsidRPr="0072134F" w:rsidRDefault="0072134F" w:rsidP="0072134F">
            <w:pPr>
              <w:spacing w:after="0" w:line="240" w:lineRule="auto"/>
              <w:jc w:val="center"/>
              <w:rPr>
                <w:rFonts w:ascii="Arial" w:eastAsia="Times New Roman" w:hAnsi="Arial" w:cs="Arial"/>
                <w:b/>
                <w:bCs/>
              </w:rPr>
            </w:pPr>
            <w:r w:rsidRPr="0072134F">
              <w:rPr>
                <w:rFonts w:ascii="Arial" w:eastAsia="Times New Roman" w:hAnsi="Arial" w:cs="Arial"/>
                <w:b/>
                <w:bCs/>
              </w:rPr>
              <w:t>Married, filing jointly</w:t>
            </w:r>
          </w:p>
        </w:tc>
      </w:tr>
      <w:tr w:rsidR="0072134F" w:rsidRPr="0072134F" w:rsidTr="0072134F">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10%</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Up to $9,525</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Up to $19,050</w:t>
            </w:r>
          </w:p>
        </w:tc>
      </w:tr>
      <w:tr w:rsidR="0072134F" w:rsidRPr="0072134F" w:rsidTr="0072134F">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12%</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$9,525–$38.7K</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$19,050–$77.4K</w:t>
            </w:r>
          </w:p>
        </w:tc>
      </w:tr>
      <w:tr w:rsidR="0072134F" w:rsidRPr="0072134F" w:rsidTr="0072134F">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22%</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$38.7K–$82.5K</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$77.4K–$165K</w:t>
            </w:r>
          </w:p>
        </w:tc>
      </w:tr>
      <w:tr w:rsidR="0072134F" w:rsidRPr="0072134F" w:rsidTr="0072134F">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lastRenderedPageBreak/>
              <w:t>24%</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$82.5K–$157.5K</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$165K–$315K</w:t>
            </w:r>
          </w:p>
        </w:tc>
      </w:tr>
      <w:tr w:rsidR="0072134F" w:rsidRPr="0072134F" w:rsidTr="0072134F">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32%</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$157.5K–$200K</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$315K–$400K</w:t>
            </w:r>
          </w:p>
        </w:tc>
      </w:tr>
      <w:tr w:rsidR="0072134F" w:rsidRPr="0072134F" w:rsidTr="0072134F">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35%</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$200K–$500K</w:t>
            </w:r>
          </w:p>
        </w:tc>
        <w:tc>
          <w:tcPr>
            <w:tcW w:w="0" w:type="auto"/>
            <w:tcBorders>
              <w:bottom w:val="single" w:sz="6" w:space="0" w:color="D5D7D9"/>
            </w:tcBorders>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$400K–$600K</w:t>
            </w:r>
          </w:p>
        </w:tc>
      </w:tr>
      <w:tr w:rsidR="0072134F" w:rsidRPr="0072134F" w:rsidTr="0072134F">
        <w:tc>
          <w:tcPr>
            <w:tcW w:w="0" w:type="auto"/>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37%</w:t>
            </w:r>
          </w:p>
        </w:tc>
        <w:tc>
          <w:tcPr>
            <w:tcW w:w="0" w:type="auto"/>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$500K+</w:t>
            </w:r>
          </w:p>
        </w:tc>
        <w:tc>
          <w:tcPr>
            <w:tcW w:w="0" w:type="auto"/>
            <w:tcMar>
              <w:top w:w="105" w:type="dxa"/>
              <w:left w:w="0" w:type="dxa"/>
              <w:bottom w:w="105" w:type="dxa"/>
              <w:right w:w="105" w:type="dxa"/>
            </w:tcMar>
            <w:vAlign w:val="bottom"/>
            <w:hideMark/>
          </w:tcPr>
          <w:p w:rsidR="0072134F" w:rsidRPr="0072134F" w:rsidRDefault="0072134F" w:rsidP="0072134F">
            <w:pPr>
              <w:spacing w:after="0" w:line="240" w:lineRule="auto"/>
              <w:rPr>
                <w:rFonts w:ascii="Arial" w:eastAsia="Times New Roman" w:hAnsi="Arial" w:cs="Arial"/>
              </w:rPr>
            </w:pPr>
            <w:r w:rsidRPr="0072134F">
              <w:rPr>
                <w:rFonts w:ascii="Arial" w:eastAsia="Times New Roman" w:hAnsi="Arial" w:cs="Arial"/>
              </w:rPr>
              <w:t>$600K+</w:t>
            </w:r>
          </w:p>
        </w:tc>
      </w:tr>
    </w:tbl>
    <w:p w:rsidR="0072134F" w:rsidRPr="000117CF" w:rsidRDefault="0072134F" w:rsidP="0072134F">
      <w:pPr>
        <w:spacing w:after="0" w:line="240" w:lineRule="auto"/>
        <w:jc w:val="center"/>
        <w:rPr>
          <w:rFonts w:ascii="Arial" w:eastAsia="Times New Roman" w:hAnsi="Arial" w:cs="Arial"/>
          <w:b/>
          <w:bCs/>
          <w:color w:val="2D2D35"/>
        </w:rPr>
      </w:pP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Corporate Tax Cut</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Business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6B221"/>
        </w:rPr>
        <w:t>REVISE</w:t>
      </w: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Previous</w:t>
      </w:r>
    </w:p>
    <w:p w:rsidR="0072134F" w:rsidRPr="0072134F" w:rsidRDefault="0072134F" w:rsidP="0072134F">
      <w:pPr>
        <w:spacing w:after="0" w:line="240" w:lineRule="auto"/>
        <w:rPr>
          <w:rFonts w:ascii="Arial" w:eastAsia="Times New Roman" w:hAnsi="Arial" w:cs="Arial"/>
          <w:color w:val="2D2D35"/>
        </w:rPr>
      </w:pPr>
      <w:r w:rsidRPr="0072134F">
        <w:rPr>
          <w:rFonts w:ascii="Arial" w:eastAsia="Times New Roman" w:hAnsi="Arial" w:cs="Arial"/>
          <w:color w:val="2D2D35"/>
        </w:rPr>
        <w:t>The current corporate rate is </w:t>
      </w:r>
      <w:r w:rsidRPr="0072134F">
        <w:rPr>
          <w:rFonts w:ascii="Arial" w:eastAsia="Times New Roman" w:hAnsi="Arial" w:cs="Arial"/>
          <w:b/>
          <w:bCs/>
          <w:color w:val="2D2D35"/>
        </w:rPr>
        <w:t>35 percent</w:t>
      </w:r>
      <w:r w:rsidRPr="0072134F">
        <w:rPr>
          <w:rFonts w:ascii="Arial" w:eastAsia="Times New Roman" w:hAnsi="Arial" w:cs="Arial"/>
          <w:color w:val="2D2D35"/>
        </w:rPr>
        <w:t>.</w:t>
      </w:r>
    </w:p>
    <w:p w:rsidR="0072134F" w:rsidRPr="000117CF" w:rsidRDefault="0072134F" w:rsidP="0072134F">
      <w:pPr>
        <w:spacing w:line="240" w:lineRule="auto"/>
        <w:rPr>
          <w:rFonts w:ascii="Arial" w:eastAsia="Times New Roman" w:hAnsi="Arial" w:cs="Arial"/>
          <w:color w:val="2D2D35"/>
        </w:rPr>
      </w:pP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0117C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t>It will lower the corporate rate to </w:t>
      </w:r>
      <w:r w:rsidRPr="0072134F">
        <w:rPr>
          <w:rFonts w:ascii="Arial" w:eastAsia="Times New Roman" w:hAnsi="Arial" w:cs="Arial"/>
          <w:b/>
          <w:bCs/>
          <w:color w:val="2D2D35"/>
        </w:rPr>
        <w:t>21 percent in 2018</w:t>
      </w:r>
      <w:r w:rsidRPr="0072134F">
        <w:rPr>
          <w:rFonts w:ascii="Arial" w:eastAsia="Times New Roman" w:hAnsi="Arial" w:cs="Arial"/>
          <w:color w:val="2D2D35"/>
        </w:rPr>
        <w:t>.</w:t>
      </w:r>
    </w:p>
    <w:p w:rsidR="0072134F" w:rsidRPr="0072134F" w:rsidRDefault="0072134F" w:rsidP="0072134F">
      <w:pPr>
        <w:spacing w:line="240" w:lineRule="auto"/>
        <w:rPr>
          <w:rFonts w:ascii="Arial" w:eastAsia="Times New Roman" w:hAnsi="Arial" w:cs="Arial"/>
          <w:color w:val="2D2D35"/>
        </w:rPr>
      </w:pP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Corporate Alternative Minimum Tax</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Business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A0033"/>
        </w:rPr>
        <w:t>REPEAL</w:t>
      </w: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Previous</w:t>
      </w:r>
    </w:p>
    <w:p w:rsidR="0072134F" w:rsidRPr="0072134F" w:rsidRDefault="0072134F" w:rsidP="0072134F">
      <w:pPr>
        <w:spacing w:after="0" w:line="240" w:lineRule="auto"/>
        <w:rPr>
          <w:rFonts w:ascii="Arial" w:eastAsia="Times New Roman" w:hAnsi="Arial" w:cs="Arial"/>
          <w:color w:val="2D2D35"/>
        </w:rPr>
      </w:pPr>
      <w:r w:rsidRPr="0072134F">
        <w:rPr>
          <w:rFonts w:ascii="Arial" w:eastAsia="Times New Roman" w:hAnsi="Arial" w:cs="Arial"/>
          <w:color w:val="2D2D35"/>
        </w:rPr>
        <w:t>It applies a </w:t>
      </w:r>
      <w:r w:rsidRPr="0072134F">
        <w:rPr>
          <w:rFonts w:ascii="Arial" w:eastAsia="Times New Roman" w:hAnsi="Arial" w:cs="Arial"/>
          <w:b/>
          <w:bCs/>
          <w:color w:val="2D2D35"/>
        </w:rPr>
        <w:t>20 percent rate</w:t>
      </w:r>
      <w:r w:rsidRPr="0072134F">
        <w:rPr>
          <w:rFonts w:ascii="Arial" w:eastAsia="Times New Roman" w:hAnsi="Arial" w:cs="Arial"/>
          <w:color w:val="2D2D35"/>
        </w:rPr>
        <w:t> as part of a parallel tax system that limits tax benefits to prevent large-scale tax avoidance. Companies must calculate their ordinary tax and AMT tax, and pay whichever is higher.</w:t>
      </w:r>
    </w:p>
    <w:p w:rsidR="0072134F" w:rsidRPr="000117CF" w:rsidRDefault="0072134F" w:rsidP="0072134F">
      <w:pPr>
        <w:spacing w:line="240" w:lineRule="auto"/>
        <w:rPr>
          <w:rFonts w:ascii="Arial" w:eastAsia="Times New Roman" w:hAnsi="Arial" w:cs="Arial"/>
          <w:color w:val="2D2D35"/>
        </w:rPr>
      </w:pP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0117C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t>It will </w:t>
      </w:r>
      <w:r w:rsidRPr="0072134F">
        <w:rPr>
          <w:rFonts w:ascii="Arial" w:eastAsia="Times New Roman" w:hAnsi="Arial" w:cs="Arial"/>
          <w:b/>
          <w:bCs/>
          <w:color w:val="2D2D35"/>
        </w:rPr>
        <w:t>repeal</w:t>
      </w:r>
      <w:r w:rsidRPr="0072134F">
        <w:rPr>
          <w:rFonts w:ascii="Arial" w:eastAsia="Times New Roman" w:hAnsi="Arial" w:cs="Arial"/>
          <w:color w:val="2D2D35"/>
        </w:rPr>
        <w:t> the corporate alternative minimum tax.</w:t>
      </w:r>
    </w:p>
    <w:p w:rsidR="0072134F" w:rsidRPr="0072134F" w:rsidRDefault="0072134F" w:rsidP="0072134F">
      <w:pPr>
        <w:spacing w:line="240" w:lineRule="auto"/>
        <w:rPr>
          <w:rFonts w:ascii="Arial" w:eastAsia="Times New Roman" w:hAnsi="Arial" w:cs="Arial"/>
          <w:color w:val="2D2D35"/>
        </w:rPr>
      </w:pP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Individual Alternative Minimum Tax</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Business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6B221"/>
        </w:rPr>
        <w:t>REVISE</w:t>
      </w: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Previous</w:t>
      </w:r>
    </w:p>
    <w:p w:rsidR="0072134F" w:rsidRPr="0072134F" w:rsidRDefault="0072134F" w:rsidP="0072134F">
      <w:pPr>
        <w:spacing w:after="0" w:line="240" w:lineRule="auto"/>
        <w:rPr>
          <w:rFonts w:ascii="Arial" w:eastAsia="Times New Roman" w:hAnsi="Arial" w:cs="Arial"/>
          <w:color w:val="2D2D35"/>
        </w:rPr>
      </w:pPr>
      <w:r w:rsidRPr="0072134F">
        <w:rPr>
          <w:rFonts w:ascii="Arial" w:eastAsia="Times New Roman" w:hAnsi="Arial" w:cs="Arial"/>
          <w:color w:val="2D2D35"/>
        </w:rPr>
        <w:t>It can apply after exemption level of </w:t>
      </w:r>
      <w:r w:rsidRPr="0072134F">
        <w:rPr>
          <w:rFonts w:ascii="Arial" w:eastAsia="Times New Roman" w:hAnsi="Arial" w:cs="Arial"/>
          <w:b/>
          <w:bCs/>
          <w:color w:val="2D2D35"/>
        </w:rPr>
        <w:t>$54,300</w:t>
      </w:r>
      <w:r w:rsidRPr="0072134F">
        <w:rPr>
          <w:rFonts w:ascii="Arial" w:eastAsia="Times New Roman" w:hAnsi="Arial" w:cs="Arial"/>
          <w:color w:val="2D2D35"/>
        </w:rPr>
        <w:t> for singles and </w:t>
      </w:r>
      <w:r w:rsidRPr="0072134F">
        <w:rPr>
          <w:rFonts w:ascii="Arial" w:eastAsia="Times New Roman" w:hAnsi="Arial" w:cs="Arial"/>
          <w:b/>
          <w:bCs/>
          <w:color w:val="2D2D35"/>
        </w:rPr>
        <w:t>$84,500</w:t>
      </w:r>
      <w:r w:rsidRPr="0072134F">
        <w:rPr>
          <w:rFonts w:ascii="Arial" w:eastAsia="Times New Roman" w:hAnsi="Arial" w:cs="Arial"/>
          <w:color w:val="2D2D35"/>
        </w:rPr>
        <w:t> for married, joint filers, and the exemptions phase out at higher incomes.</w:t>
      </w:r>
    </w:p>
    <w:p w:rsidR="0072134F" w:rsidRPr="000117CF" w:rsidRDefault="0072134F" w:rsidP="0072134F">
      <w:pPr>
        <w:spacing w:line="240" w:lineRule="auto"/>
        <w:rPr>
          <w:rFonts w:ascii="Arial" w:eastAsia="Times New Roman" w:hAnsi="Arial" w:cs="Arial"/>
          <w:color w:val="2D2D35"/>
        </w:rPr>
      </w:pPr>
    </w:p>
    <w:p w:rsidR="0072134F" w:rsidRPr="000117CF" w:rsidRDefault="0072134F" w:rsidP="0072134F">
      <w:pPr>
        <w:spacing w:line="240" w:lineRule="auto"/>
        <w:rPr>
          <w:rFonts w:ascii="Arial" w:eastAsia="Times New Roman" w:hAnsi="Arial" w:cs="Arial"/>
          <w:b/>
          <w:color w:val="2D2D35"/>
        </w:rPr>
      </w:pPr>
    </w:p>
    <w:p w:rsidR="0072134F" w:rsidRPr="000117CF" w:rsidRDefault="0072134F" w:rsidP="0072134F">
      <w:pPr>
        <w:spacing w:line="240" w:lineRule="auto"/>
        <w:rPr>
          <w:rFonts w:ascii="Arial" w:eastAsia="Times New Roman" w:hAnsi="Arial" w:cs="Arial"/>
          <w:b/>
          <w:color w:val="2D2D35"/>
        </w:rPr>
      </w:pP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0117C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lastRenderedPageBreak/>
        <w:t>It will </w:t>
      </w:r>
      <w:r w:rsidRPr="0072134F">
        <w:rPr>
          <w:rFonts w:ascii="Arial" w:eastAsia="Times New Roman" w:hAnsi="Arial" w:cs="Arial"/>
          <w:b/>
          <w:bCs/>
          <w:color w:val="2D2D35"/>
        </w:rPr>
        <w:t>increase the exemption</w:t>
      </w:r>
      <w:r w:rsidRPr="0072134F">
        <w:rPr>
          <w:rFonts w:ascii="Arial" w:eastAsia="Times New Roman" w:hAnsi="Arial" w:cs="Arial"/>
          <w:color w:val="2D2D35"/>
        </w:rPr>
        <w:t> to </w:t>
      </w:r>
      <w:r w:rsidRPr="0072134F">
        <w:rPr>
          <w:rFonts w:ascii="Arial" w:eastAsia="Times New Roman" w:hAnsi="Arial" w:cs="Arial"/>
          <w:b/>
          <w:bCs/>
          <w:color w:val="2D2D35"/>
        </w:rPr>
        <w:t>$70,300</w:t>
      </w:r>
      <w:r w:rsidRPr="0072134F">
        <w:rPr>
          <w:rFonts w:ascii="Arial" w:eastAsia="Times New Roman" w:hAnsi="Arial" w:cs="Arial"/>
          <w:color w:val="2D2D35"/>
        </w:rPr>
        <w:t> for singles and </w:t>
      </w:r>
      <w:r w:rsidRPr="0072134F">
        <w:rPr>
          <w:rFonts w:ascii="Arial" w:eastAsia="Times New Roman" w:hAnsi="Arial" w:cs="Arial"/>
          <w:b/>
          <w:bCs/>
          <w:color w:val="2D2D35"/>
        </w:rPr>
        <w:t>$109,400</w:t>
      </w:r>
      <w:r w:rsidRPr="0072134F">
        <w:rPr>
          <w:rFonts w:ascii="Arial" w:eastAsia="Times New Roman" w:hAnsi="Arial" w:cs="Arial"/>
          <w:color w:val="2D2D35"/>
        </w:rPr>
        <w:t> for joint filers. It will </w:t>
      </w:r>
      <w:r w:rsidRPr="0072134F">
        <w:rPr>
          <w:rFonts w:ascii="Arial" w:eastAsia="Times New Roman" w:hAnsi="Arial" w:cs="Arial"/>
          <w:b/>
          <w:bCs/>
          <w:color w:val="2D2D35"/>
        </w:rPr>
        <w:t>increase the phase-out threshold</w:t>
      </w:r>
      <w:r w:rsidRPr="0072134F">
        <w:rPr>
          <w:rFonts w:ascii="Arial" w:eastAsia="Times New Roman" w:hAnsi="Arial" w:cs="Arial"/>
          <w:color w:val="2D2D35"/>
        </w:rPr>
        <w:t> to </w:t>
      </w:r>
      <w:r w:rsidRPr="0072134F">
        <w:rPr>
          <w:rFonts w:ascii="Arial" w:eastAsia="Times New Roman" w:hAnsi="Arial" w:cs="Arial"/>
          <w:b/>
          <w:bCs/>
          <w:color w:val="2D2D35"/>
        </w:rPr>
        <w:t>$500,000</w:t>
      </w:r>
      <w:r w:rsidRPr="0072134F">
        <w:rPr>
          <w:rFonts w:ascii="Arial" w:eastAsia="Times New Roman" w:hAnsi="Arial" w:cs="Arial"/>
          <w:color w:val="2D2D35"/>
        </w:rPr>
        <w:t> for singles and </w:t>
      </w:r>
      <w:r w:rsidRPr="0072134F">
        <w:rPr>
          <w:rFonts w:ascii="Arial" w:eastAsia="Times New Roman" w:hAnsi="Arial" w:cs="Arial"/>
          <w:b/>
          <w:bCs/>
          <w:color w:val="2D2D35"/>
        </w:rPr>
        <w:t>$1 million</w:t>
      </w:r>
      <w:r w:rsidRPr="0072134F">
        <w:rPr>
          <w:rFonts w:ascii="Arial" w:eastAsia="Times New Roman" w:hAnsi="Arial" w:cs="Arial"/>
          <w:color w:val="2D2D35"/>
        </w:rPr>
        <w:t> for joint filers. The higher limits will </w:t>
      </w:r>
      <w:r w:rsidRPr="0072134F">
        <w:rPr>
          <w:rFonts w:ascii="Arial" w:eastAsia="Times New Roman" w:hAnsi="Arial" w:cs="Arial"/>
          <w:b/>
          <w:bCs/>
          <w:color w:val="2D2D35"/>
        </w:rPr>
        <w:t>expire in 2026</w:t>
      </w:r>
      <w:r w:rsidRPr="0072134F">
        <w:rPr>
          <w:rFonts w:ascii="Arial" w:eastAsia="Times New Roman" w:hAnsi="Arial" w:cs="Arial"/>
          <w:color w:val="2D2D35"/>
        </w:rPr>
        <w:t>.</w:t>
      </w:r>
    </w:p>
    <w:p w:rsidR="0072134F" w:rsidRPr="0072134F" w:rsidRDefault="0072134F" w:rsidP="0072134F">
      <w:pPr>
        <w:spacing w:line="240" w:lineRule="auto"/>
        <w:rPr>
          <w:rFonts w:ascii="Arial" w:eastAsia="Times New Roman" w:hAnsi="Arial" w:cs="Arial"/>
          <w:color w:val="2D2D35"/>
        </w:rPr>
      </w:pP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Full and Immediate Expensing</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Business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6B221"/>
        </w:rPr>
        <w:t>REVISE</w:t>
      </w: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Previous</w:t>
      </w:r>
    </w:p>
    <w:p w:rsidR="0072134F" w:rsidRPr="0072134F" w:rsidRDefault="0072134F" w:rsidP="0072134F">
      <w:pPr>
        <w:spacing w:after="0" w:line="240" w:lineRule="auto"/>
        <w:rPr>
          <w:rFonts w:ascii="Arial" w:eastAsia="Times New Roman" w:hAnsi="Arial" w:cs="Arial"/>
          <w:color w:val="2D2D35"/>
        </w:rPr>
      </w:pPr>
      <w:r w:rsidRPr="0072134F">
        <w:rPr>
          <w:rFonts w:ascii="Arial" w:eastAsia="Times New Roman" w:hAnsi="Arial" w:cs="Arial"/>
          <w:color w:val="2D2D35"/>
        </w:rPr>
        <w:t>Businesses must take depreciation, </w:t>
      </w:r>
      <w:r w:rsidRPr="0072134F">
        <w:rPr>
          <w:rFonts w:ascii="Arial" w:eastAsia="Times New Roman" w:hAnsi="Arial" w:cs="Arial"/>
          <w:b/>
          <w:bCs/>
          <w:color w:val="2D2D35"/>
        </w:rPr>
        <w:t>spreading the recognition</w:t>
      </w:r>
      <w:r w:rsidRPr="0072134F">
        <w:rPr>
          <w:rFonts w:ascii="Arial" w:eastAsia="Times New Roman" w:hAnsi="Arial" w:cs="Arial"/>
          <w:color w:val="2D2D35"/>
        </w:rPr>
        <w:t> of their equipment costs for tax purposes </w:t>
      </w:r>
      <w:r w:rsidRPr="0072134F">
        <w:rPr>
          <w:rFonts w:ascii="Arial" w:eastAsia="Times New Roman" w:hAnsi="Arial" w:cs="Arial"/>
          <w:b/>
          <w:bCs/>
          <w:color w:val="2D2D35"/>
        </w:rPr>
        <w:t>over several years</w:t>
      </w:r>
      <w:r w:rsidRPr="0072134F">
        <w:rPr>
          <w:rFonts w:ascii="Arial" w:eastAsia="Times New Roman" w:hAnsi="Arial" w:cs="Arial"/>
          <w:color w:val="2D2D35"/>
        </w:rPr>
        <w:t>.</w:t>
      </w:r>
    </w:p>
    <w:p w:rsidR="0072134F" w:rsidRPr="000117CF" w:rsidRDefault="0072134F" w:rsidP="0072134F">
      <w:pPr>
        <w:spacing w:line="240" w:lineRule="auto"/>
        <w:rPr>
          <w:rFonts w:ascii="Arial" w:eastAsia="Times New Roman" w:hAnsi="Arial" w:cs="Arial"/>
          <w:color w:val="2D2D35"/>
        </w:rPr>
      </w:pP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0117C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t>It will allow companies to </w:t>
      </w:r>
      <w:r w:rsidRPr="0072134F">
        <w:rPr>
          <w:rFonts w:ascii="Arial" w:eastAsia="Times New Roman" w:hAnsi="Arial" w:cs="Arial"/>
          <w:b/>
          <w:bCs/>
          <w:color w:val="2D2D35"/>
        </w:rPr>
        <w:t>fully and immediately deduct</w:t>
      </w:r>
      <w:r w:rsidRPr="0072134F">
        <w:rPr>
          <w:rFonts w:ascii="Arial" w:eastAsia="Times New Roman" w:hAnsi="Arial" w:cs="Arial"/>
          <w:color w:val="2D2D35"/>
        </w:rPr>
        <w:t> the cost of certain equipment purchased </w:t>
      </w:r>
      <w:r w:rsidRPr="0072134F">
        <w:rPr>
          <w:rFonts w:ascii="Arial" w:eastAsia="Times New Roman" w:hAnsi="Arial" w:cs="Arial"/>
          <w:b/>
          <w:bCs/>
          <w:color w:val="2D2D35"/>
        </w:rPr>
        <w:t>after Sept. 27, 2017</w:t>
      </w:r>
      <w:r w:rsidRPr="0072134F">
        <w:rPr>
          <w:rFonts w:ascii="Arial" w:eastAsia="Times New Roman" w:hAnsi="Arial" w:cs="Arial"/>
          <w:color w:val="2D2D35"/>
        </w:rPr>
        <w:t> and </w:t>
      </w:r>
      <w:r w:rsidRPr="0072134F">
        <w:rPr>
          <w:rFonts w:ascii="Arial" w:eastAsia="Times New Roman" w:hAnsi="Arial" w:cs="Arial"/>
          <w:b/>
          <w:bCs/>
          <w:color w:val="2D2D35"/>
        </w:rPr>
        <w:t>before Jan. 1, 2023</w:t>
      </w:r>
      <w:r w:rsidRPr="0072134F">
        <w:rPr>
          <w:rFonts w:ascii="Arial" w:eastAsia="Times New Roman" w:hAnsi="Arial" w:cs="Arial"/>
          <w:color w:val="2D2D35"/>
        </w:rPr>
        <w:t xml:space="preserve">. After that, the percentage of cost that could be </w:t>
      </w:r>
      <w:r w:rsidRPr="000117CF">
        <w:rPr>
          <w:rFonts w:ascii="Arial" w:eastAsia="Times New Roman" w:hAnsi="Arial" w:cs="Arial"/>
          <w:color w:val="2D2D35"/>
        </w:rPr>
        <w:t>immediately</w:t>
      </w:r>
      <w:r w:rsidRPr="0072134F">
        <w:rPr>
          <w:rFonts w:ascii="Arial" w:eastAsia="Times New Roman" w:hAnsi="Arial" w:cs="Arial"/>
          <w:color w:val="2D2D35"/>
        </w:rPr>
        <w:t xml:space="preserve"> deducted will gradually phase down.</w:t>
      </w:r>
    </w:p>
    <w:p w:rsidR="0072134F" w:rsidRPr="0072134F" w:rsidRDefault="0072134F" w:rsidP="0072134F">
      <w:pPr>
        <w:spacing w:line="240" w:lineRule="auto"/>
        <w:rPr>
          <w:rFonts w:ascii="Arial" w:eastAsia="Times New Roman" w:hAnsi="Arial" w:cs="Arial"/>
          <w:color w:val="2D2D35"/>
        </w:rPr>
      </w:pP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Repatriation</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Business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6B221"/>
        </w:rPr>
        <w:t>REVISE</w:t>
      </w: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Previous</w:t>
      </w:r>
    </w:p>
    <w:p w:rsidR="0072134F" w:rsidRPr="0072134F" w:rsidRDefault="0072134F" w:rsidP="0072134F">
      <w:pPr>
        <w:spacing w:after="0" w:line="240" w:lineRule="auto"/>
        <w:rPr>
          <w:rFonts w:ascii="Arial" w:eastAsia="Times New Roman" w:hAnsi="Arial" w:cs="Arial"/>
          <w:color w:val="2D2D35"/>
        </w:rPr>
      </w:pPr>
      <w:r w:rsidRPr="0072134F">
        <w:rPr>
          <w:rFonts w:ascii="Arial" w:eastAsia="Times New Roman" w:hAnsi="Arial" w:cs="Arial"/>
          <w:color w:val="2D2D35"/>
        </w:rPr>
        <w:t>Multinationals are taxed on their global earnings at the corporate rate of </w:t>
      </w:r>
      <w:r w:rsidRPr="0072134F">
        <w:rPr>
          <w:rFonts w:ascii="Arial" w:eastAsia="Times New Roman" w:hAnsi="Arial" w:cs="Arial"/>
          <w:b/>
          <w:bCs/>
          <w:color w:val="2D2D35"/>
        </w:rPr>
        <w:t>35 percent</w:t>
      </w:r>
      <w:r w:rsidRPr="0072134F">
        <w:rPr>
          <w:rFonts w:ascii="Arial" w:eastAsia="Times New Roman" w:hAnsi="Arial" w:cs="Arial"/>
          <w:color w:val="2D2D35"/>
        </w:rPr>
        <w:t>, but they can defer taxes on foreign earnings until they bring them back to the U.S., or “repatriate” them.</w:t>
      </w:r>
    </w:p>
    <w:p w:rsidR="0072134F" w:rsidRPr="000117CF" w:rsidRDefault="0072134F" w:rsidP="0072134F">
      <w:pPr>
        <w:spacing w:line="240" w:lineRule="auto"/>
        <w:rPr>
          <w:rFonts w:ascii="Arial" w:eastAsia="Times New Roman" w:hAnsi="Arial" w:cs="Arial"/>
          <w:color w:val="2D2D35"/>
        </w:rPr>
      </w:pP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0117C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t xml:space="preserve">It will tax </w:t>
      </w:r>
      <w:proofErr w:type="gramStart"/>
      <w:r w:rsidRPr="0072134F">
        <w:rPr>
          <w:rFonts w:ascii="Arial" w:eastAsia="Times New Roman" w:hAnsi="Arial" w:cs="Arial"/>
          <w:color w:val="2D2D35"/>
        </w:rPr>
        <w:t>companies'</w:t>
      </w:r>
      <w:proofErr w:type="gramEnd"/>
      <w:r w:rsidRPr="0072134F">
        <w:rPr>
          <w:rFonts w:ascii="Arial" w:eastAsia="Times New Roman" w:hAnsi="Arial" w:cs="Arial"/>
          <w:color w:val="2D2D35"/>
        </w:rPr>
        <w:t xml:space="preserve"> accumulated overseas income held as cash at </w:t>
      </w:r>
      <w:r w:rsidRPr="0072134F">
        <w:rPr>
          <w:rFonts w:ascii="Arial" w:eastAsia="Times New Roman" w:hAnsi="Arial" w:cs="Arial"/>
          <w:b/>
          <w:bCs/>
          <w:color w:val="2D2D35"/>
        </w:rPr>
        <w:t>15.5 percent</w:t>
      </w:r>
      <w:r w:rsidRPr="0072134F">
        <w:rPr>
          <w:rFonts w:ascii="Arial" w:eastAsia="Times New Roman" w:hAnsi="Arial" w:cs="Arial"/>
          <w:color w:val="2D2D35"/>
        </w:rPr>
        <w:t>, while non-cash holdings will be taxed at </w:t>
      </w:r>
      <w:r w:rsidRPr="0072134F">
        <w:rPr>
          <w:rFonts w:ascii="Arial" w:eastAsia="Times New Roman" w:hAnsi="Arial" w:cs="Arial"/>
          <w:b/>
          <w:bCs/>
          <w:color w:val="2D2D35"/>
        </w:rPr>
        <w:t>8 percent</w:t>
      </w:r>
      <w:r w:rsidRPr="0072134F">
        <w:rPr>
          <w:rFonts w:ascii="Arial" w:eastAsia="Times New Roman" w:hAnsi="Arial" w:cs="Arial"/>
          <w:color w:val="2D2D35"/>
        </w:rPr>
        <w:t>. Companies can make the payments in eight annual installments. Going forward, the corporate income tax will focus largely on domestic economic activity, though some special levies will be aimed at preventing corporations from shifting profits offshore.</w:t>
      </w:r>
    </w:p>
    <w:p w:rsidR="0072134F" w:rsidRPr="0072134F" w:rsidRDefault="0072134F" w:rsidP="0072134F">
      <w:pPr>
        <w:spacing w:line="240" w:lineRule="auto"/>
        <w:rPr>
          <w:rFonts w:ascii="Arial" w:eastAsia="Times New Roman" w:hAnsi="Arial" w:cs="Arial"/>
          <w:color w:val="2D2D35"/>
        </w:rPr>
      </w:pP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Pass-Through Business Income</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Individual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6B221"/>
        </w:rPr>
        <w:t>REVISE</w:t>
      </w:r>
    </w:p>
    <w:p w:rsidR="0072134F" w:rsidRPr="000117CF" w:rsidRDefault="0072134F" w:rsidP="0072134F">
      <w:pPr>
        <w:spacing w:after="0" w:line="240" w:lineRule="auto"/>
        <w:rPr>
          <w:rFonts w:ascii="Arial" w:eastAsia="Times New Roman" w:hAnsi="Arial" w:cs="Arial"/>
          <w:color w:val="2D2D35"/>
        </w:rPr>
      </w:pPr>
    </w:p>
    <w:p w:rsidR="0072134F" w:rsidRPr="000117CF" w:rsidRDefault="0072134F" w:rsidP="0072134F">
      <w:pPr>
        <w:spacing w:after="0" w:line="240" w:lineRule="auto"/>
        <w:rPr>
          <w:rFonts w:ascii="Arial" w:eastAsia="Times New Roman" w:hAnsi="Arial" w:cs="Arial"/>
          <w:color w:val="2D2D35"/>
        </w:rPr>
      </w:pP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Previous</w:t>
      </w:r>
    </w:p>
    <w:p w:rsidR="0072134F" w:rsidRPr="0072134F" w:rsidRDefault="0072134F" w:rsidP="0072134F">
      <w:pPr>
        <w:spacing w:after="0" w:line="240" w:lineRule="auto"/>
        <w:rPr>
          <w:rFonts w:ascii="Arial" w:eastAsia="Times New Roman" w:hAnsi="Arial" w:cs="Arial"/>
          <w:color w:val="2D2D35"/>
        </w:rPr>
      </w:pPr>
      <w:r w:rsidRPr="0072134F">
        <w:rPr>
          <w:rFonts w:ascii="Arial" w:eastAsia="Times New Roman" w:hAnsi="Arial" w:cs="Arial"/>
          <w:color w:val="2D2D35"/>
        </w:rPr>
        <w:t>Pass-through businesses pass their income to their owners, who pay tax at their individual rates.</w:t>
      </w:r>
    </w:p>
    <w:p w:rsidR="0072134F" w:rsidRPr="000117CF" w:rsidRDefault="0072134F" w:rsidP="0072134F">
      <w:pPr>
        <w:spacing w:line="240" w:lineRule="auto"/>
        <w:rPr>
          <w:rFonts w:ascii="Arial" w:eastAsia="Times New Roman" w:hAnsi="Arial" w:cs="Arial"/>
          <w:color w:val="2D2D35"/>
        </w:rPr>
      </w:pP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0117C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lastRenderedPageBreak/>
        <w:t>It will allow pass-through owners to </w:t>
      </w:r>
      <w:r w:rsidRPr="0072134F">
        <w:rPr>
          <w:rFonts w:ascii="Arial" w:eastAsia="Times New Roman" w:hAnsi="Arial" w:cs="Arial"/>
          <w:b/>
          <w:bCs/>
          <w:color w:val="2D2D35"/>
        </w:rPr>
        <w:t>deduct 20 percent</w:t>
      </w:r>
      <w:r w:rsidRPr="0072134F">
        <w:rPr>
          <w:rFonts w:ascii="Arial" w:eastAsia="Times New Roman" w:hAnsi="Arial" w:cs="Arial"/>
          <w:color w:val="2D2D35"/>
        </w:rPr>
        <w:t> from their business income, subject to limits that will begin at </w:t>
      </w:r>
      <w:r w:rsidRPr="0072134F">
        <w:rPr>
          <w:rFonts w:ascii="Arial" w:eastAsia="Times New Roman" w:hAnsi="Arial" w:cs="Arial"/>
          <w:b/>
          <w:bCs/>
          <w:color w:val="2D2D35"/>
        </w:rPr>
        <w:t>$315,000</w:t>
      </w:r>
      <w:r w:rsidRPr="0072134F">
        <w:rPr>
          <w:rFonts w:ascii="Arial" w:eastAsia="Times New Roman" w:hAnsi="Arial" w:cs="Arial"/>
          <w:color w:val="2D2D35"/>
        </w:rPr>
        <w:t> for married couples, or half that for single taxpayers.</w:t>
      </w:r>
    </w:p>
    <w:p w:rsidR="0072134F" w:rsidRPr="0072134F" w:rsidRDefault="0072134F" w:rsidP="0072134F">
      <w:pPr>
        <w:spacing w:line="240" w:lineRule="auto"/>
        <w:rPr>
          <w:rFonts w:ascii="Arial" w:eastAsia="Times New Roman" w:hAnsi="Arial" w:cs="Arial"/>
          <w:color w:val="2D2D35"/>
        </w:rPr>
      </w:pP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Obamacare Individual Mandate</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Individual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A0033"/>
        </w:rPr>
        <w:t>REPEAL</w:t>
      </w: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Previous</w:t>
      </w:r>
    </w:p>
    <w:p w:rsidR="0072134F" w:rsidRPr="0072134F" w:rsidRDefault="0072134F" w:rsidP="0072134F">
      <w:pPr>
        <w:spacing w:after="0" w:line="240" w:lineRule="auto"/>
        <w:rPr>
          <w:rFonts w:ascii="Arial" w:eastAsia="Times New Roman" w:hAnsi="Arial" w:cs="Arial"/>
          <w:color w:val="2D2D35"/>
        </w:rPr>
      </w:pPr>
      <w:r w:rsidRPr="0072134F">
        <w:rPr>
          <w:rFonts w:ascii="Arial" w:eastAsia="Times New Roman" w:hAnsi="Arial" w:cs="Arial"/>
          <w:color w:val="2D2D35"/>
        </w:rPr>
        <w:t>Individuals who fail to buy health insurance must pay </w:t>
      </w:r>
      <w:r w:rsidRPr="0072134F">
        <w:rPr>
          <w:rFonts w:ascii="Arial" w:eastAsia="Times New Roman" w:hAnsi="Arial" w:cs="Arial"/>
          <w:b/>
          <w:bCs/>
          <w:color w:val="2D2D35"/>
        </w:rPr>
        <w:t>penalties of $695</w:t>
      </w:r>
      <w:r w:rsidRPr="0072134F">
        <w:rPr>
          <w:rFonts w:ascii="Arial" w:eastAsia="Times New Roman" w:hAnsi="Arial" w:cs="Arial"/>
          <w:color w:val="2D2D35"/>
        </w:rPr>
        <w:t> (the penalty is higher for families), or </w:t>
      </w:r>
      <w:r w:rsidRPr="0072134F">
        <w:rPr>
          <w:rFonts w:ascii="Arial" w:eastAsia="Times New Roman" w:hAnsi="Arial" w:cs="Arial"/>
          <w:b/>
          <w:bCs/>
          <w:color w:val="2D2D35"/>
        </w:rPr>
        <w:t>2.5 percent</w:t>
      </w:r>
      <w:r w:rsidRPr="0072134F">
        <w:rPr>
          <w:rFonts w:ascii="Arial" w:eastAsia="Times New Roman" w:hAnsi="Arial" w:cs="Arial"/>
          <w:color w:val="2D2D35"/>
        </w:rPr>
        <w:t> of their household income—whichever is higher, but capped at the national average cost of the most basic, low-premium, high-deductible plan.</w:t>
      </w:r>
    </w:p>
    <w:p w:rsidR="0072134F" w:rsidRPr="000117CF" w:rsidRDefault="0072134F" w:rsidP="0072134F">
      <w:pPr>
        <w:spacing w:line="240" w:lineRule="auto"/>
        <w:rPr>
          <w:rFonts w:ascii="Arial" w:eastAsia="Times New Roman" w:hAnsi="Arial" w:cs="Arial"/>
          <w:color w:val="2D2D35"/>
        </w:rPr>
      </w:pP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0117C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t>It will </w:t>
      </w:r>
      <w:r w:rsidRPr="0072134F">
        <w:rPr>
          <w:rFonts w:ascii="Arial" w:eastAsia="Times New Roman" w:hAnsi="Arial" w:cs="Arial"/>
          <w:b/>
          <w:bCs/>
          <w:color w:val="2D2D35"/>
        </w:rPr>
        <w:t>repeal</w:t>
      </w:r>
      <w:r w:rsidRPr="0072134F">
        <w:rPr>
          <w:rFonts w:ascii="Arial" w:eastAsia="Times New Roman" w:hAnsi="Arial" w:cs="Arial"/>
          <w:color w:val="2D2D35"/>
        </w:rPr>
        <w:t> the Affordable Care Act's individual mandate.</w:t>
      </w:r>
    </w:p>
    <w:p w:rsidR="0072134F" w:rsidRPr="0072134F" w:rsidRDefault="0072134F" w:rsidP="0072134F">
      <w:pPr>
        <w:spacing w:line="240" w:lineRule="auto"/>
        <w:rPr>
          <w:rFonts w:ascii="Arial" w:eastAsia="Times New Roman" w:hAnsi="Arial" w:cs="Arial"/>
          <w:color w:val="2D2D35"/>
        </w:rPr>
      </w:pP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Standard Deduction and Personal Exemptions</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Individual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6B221"/>
        </w:rPr>
        <w:t>REVISE</w:t>
      </w:r>
    </w:p>
    <w:p w:rsidR="0072134F" w:rsidRPr="000117CF" w:rsidRDefault="0072134F" w:rsidP="003D296F">
      <w:pPr>
        <w:spacing w:line="240" w:lineRule="auto"/>
        <w:rPr>
          <w:rFonts w:ascii="Arial" w:eastAsia="Times New Roman" w:hAnsi="Arial" w:cs="Arial"/>
          <w:b/>
          <w:color w:val="2D2D35"/>
        </w:rPr>
      </w:pPr>
      <w:r w:rsidRPr="000117CF">
        <w:rPr>
          <w:rFonts w:ascii="Arial" w:eastAsia="Times New Roman" w:hAnsi="Arial" w:cs="Arial"/>
          <w:b/>
          <w:color w:val="2D2D35"/>
        </w:rPr>
        <w:t>Previous</w:t>
      </w:r>
    </w:p>
    <w:p w:rsidR="0072134F" w:rsidRPr="0072134F" w:rsidRDefault="0072134F" w:rsidP="0072134F">
      <w:pPr>
        <w:spacing w:after="0" w:line="240" w:lineRule="auto"/>
        <w:rPr>
          <w:rFonts w:ascii="Arial" w:eastAsia="Times New Roman" w:hAnsi="Arial" w:cs="Arial"/>
          <w:color w:val="2D2D35"/>
        </w:rPr>
      </w:pPr>
      <w:r w:rsidRPr="0072134F">
        <w:rPr>
          <w:rFonts w:ascii="Arial" w:eastAsia="Times New Roman" w:hAnsi="Arial" w:cs="Arial"/>
          <w:color w:val="2D2D35"/>
        </w:rPr>
        <w:t>Single taxpayers may take a standard deduction of </w:t>
      </w:r>
      <w:r w:rsidRPr="0072134F">
        <w:rPr>
          <w:rFonts w:ascii="Arial" w:eastAsia="Times New Roman" w:hAnsi="Arial" w:cs="Arial"/>
          <w:b/>
          <w:bCs/>
          <w:color w:val="2D2D35"/>
        </w:rPr>
        <w:t>$6,350</w:t>
      </w:r>
      <w:r w:rsidRPr="0072134F">
        <w:rPr>
          <w:rFonts w:ascii="Arial" w:eastAsia="Times New Roman" w:hAnsi="Arial" w:cs="Arial"/>
          <w:color w:val="2D2D35"/>
        </w:rPr>
        <w:t>, and joint filers may take a deduction of </w:t>
      </w:r>
      <w:r w:rsidRPr="0072134F">
        <w:rPr>
          <w:rFonts w:ascii="Arial" w:eastAsia="Times New Roman" w:hAnsi="Arial" w:cs="Arial"/>
          <w:b/>
          <w:bCs/>
          <w:color w:val="2D2D35"/>
        </w:rPr>
        <w:t>$12,700</w:t>
      </w:r>
      <w:r w:rsidRPr="0072134F">
        <w:rPr>
          <w:rFonts w:ascii="Arial" w:eastAsia="Times New Roman" w:hAnsi="Arial" w:cs="Arial"/>
          <w:color w:val="2D2D35"/>
        </w:rPr>
        <w:t>. Personal exemptions of </w:t>
      </w:r>
      <w:r w:rsidRPr="0072134F">
        <w:rPr>
          <w:rFonts w:ascii="Arial" w:eastAsia="Times New Roman" w:hAnsi="Arial" w:cs="Arial"/>
          <w:b/>
          <w:bCs/>
          <w:color w:val="2D2D35"/>
        </w:rPr>
        <w:t>$4,050</w:t>
      </w:r>
      <w:r w:rsidRPr="0072134F">
        <w:rPr>
          <w:rFonts w:ascii="Arial" w:eastAsia="Times New Roman" w:hAnsi="Arial" w:cs="Arial"/>
          <w:color w:val="2D2D35"/>
        </w:rPr>
        <w:t> are allowed for each family member.</w:t>
      </w:r>
    </w:p>
    <w:p w:rsidR="0072134F" w:rsidRPr="000117CF" w:rsidRDefault="0072134F" w:rsidP="0072134F">
      <w:pPr>
        <w:spacing w:line="240" w:lineRule="auto"/>
        <w:rPr>
          <w:rFonts w:ascii="Arial" w:eastAsia="Times New Roman" w:hAnsi="Arial" w:cs="Arial"/>
          <w:color w:val="2D2D35"/>
        </w:rPr>
      </w:pPr>
    </w:p>
    <w:p w:rsidR="0072134F" w:rsidRPr="000117CF" w:rsidRDefault="0072134F"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0117CF" w:rsidRDefault="0072134F" w:rsidP="0072134F">
      <w:pPr>
        <w:spacing w:line="240" w:lineRule="auto"/>
        <w:rPr>
          <w:rFonts w:ascii="Arial" w:eastAsia="Times New Roman" w:hAnsi="Arial" w:cs="Arial"/>
          <w:b/>
          <w:bCs/>
          <w:color w:val="2D2D35"/>
        </w:rPr>
      </w:pPr>
      <w:r w:rsidRPr="0072134F">
        <w:rPr>
          <w:rFonts w:ascii="Arial" w:eastAsia="Times New Roman" w:hAnsi="Arial" w:cs="Arial"/>
          <w:color w:val="2D2D35"/>
        </w:rPr>
        <w:t>It will expand the standard deduction for individuals to </w:t>
      </w:r>
      <w:r w:rsidRPr="0072134F">
        <w:rPr>
          <w:rFonts w:ascii="Arial" w:eastAsia="Times New Roman" w:hAnsi="Arial" w:cs="Arial"/>
          <w:b/>
          <w:bCs/>
          <w:color w:val="2D2D35"/>
        </w:rPr>
        <w:t>$12,000</w:t>
      </w:r>
      <w:r w:rsidRPr="0072134F">
        <w:rPr>
          <w:rFonts w:ascii="Arial" w:eastAsia="Times New Roman" w:hAnsi="Arial" w:cs="Arial"/>
          <w:color w:val="2D2D35"/>
        </w:rPr>
        <w:t> and to </w:t>
      </w:r>
      <w:r w:rsidRPr="0072134F">
        <w:rPr>
          <w:rFonts w:ascii="Arial" w:eastAsia="Times New Roman" w:hAnsi="Arial" w:cs="Arial"/>
          <w:b/>
          <w:bCs/>
          <w:color w:val="2D2D35"/>
        </w:rPr>
        <w:t>$24,000</w:t>
      </w:r>
      <w:r w:rsidRPr="0072134F">
        <w:rPr>
          <w:rFonts w:ascii="Arial" w:eastAsia="Times New Roman" w:hAnsi="Arial" w:cs="Arial"/>
          <w:color w:val="2D2D35"/>
        </w:rPr>
        <w:t> for joint filers. Personal exemptions will be </w:t>
      </w:r>
      <w:r w:rsidRPr="0072134F">
        <w:rPr>
          <w:rFonts w:ascii="Arial" w:eastAsia="Times New Roman" w:hAnsi="Arial" w:cs="Arial"/>
          <w:b/>
          <w:bCs/>
          <w:color w:val="2D2D35"/>
        </w:rPr>
        <w:t>repealed.</w:t>
      </w:r>
    </w:p>
    <w:p w:rsidR="003D296F" w:rsidRPr="000117CF" w:rsidRDefault="003D296F" w:rsidP="0072134F">
      <w:pPr>
        <w:spacing w:line="240" w:lineRule="auto"/>
        <w:rPr>
          <w:rFonts w:ascii="Arial" w:eastAsia="Times New Roman" w:hAnsi="Arial" w:cs="Arial"/>
          <w:color w:val="2D2D35"/>
        </w:rPr>
      </w:pPr>
    </w:p>
    <w:p w:rsidR="003D296F" w:rsidRPr="000117CF" w:rsidRDefault="003D296F" w:rsidP="0072134F">
      <w:pPr>
        <w:spacing w:line="240" w:lineRule="auto"/>
        <w:rPr>
          <w:rFonts w:ascii="Arial" w:eastAsia="Times New Roman" w:hAnsi="Arial" w:cs="Arial"/>
          <w:color w:val="2D2D35"/>
        </w:rPr>
      </w:pPr>
    </w:p>
    <w:p w:rsidR="003D296F" w:rsidRPr="0072134F" w:rsidRDefault="003D296F" w:rsidP="0072134F">
      <w:pPr>
        <w:spacing w:line="240" w:lineRule="auto"/>
        <w:rPr>
          <w:rFonts w:ascii="Arial" w:eastAsia="Times New Roman" w:hAnsi="Arial" w:cs="Arial"/>
          <w:color w:val="2D2D35"/>
        </w:rPr>
      </w:pP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State and Local Tax Deductions</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Individual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6B221"/>
        </w:rPr>
        <w:t>REVISE</w:t>
      </w:r>
    </w:p>
    <w:p w:rsidR="003D296F" w:rsidRPr="000117CF" w:rsidRDefault="003D296F" w:rsidP="003D296F">
      <w:pPr>
        <w:spacing w:line="240" w:lineRule="auto"/>
        <w:rPr>
          <w:rFonts w:ascii="Arial" w:eastAsia="Times New Roman" w:hAnsi="Arial" w:cs="Arial"/>
          <w:b/>
          <w:color w:val="2D2D35"/>
        </w:rPr>
      </w:pPr>
      <w:r w:rsidRPr="000117CF">
        <w:rPr>
          <w:rFonts w:ascii="Arial" w:eastAsia="Times New Roman" w:hAnsi="Arial" w:cs="Arial"/>
          <w:b/>
          <w:color w:val="2D2D35"/>
        </w:rPr>
        <w:t>Previous</w:t>
      </w:r>
    </w:p>
    <w:p w:rsidR="0072134F" w:rsidRPr="0072134F" w:rsidRDefault="0072134F" w:rsidP="0072134F">
      <w:pPr>
        <w:spacing w:after="0" w:line="240" w:lineRule="auto"/>
        <w:rPr>
          <w:rFonts w:ascii="Arial" w:eastAsia="Times New Roman" w:hAnsi="Arial" w:cs="Arial"/>
          <w:color w:val="2D2D35"/>
        </w:rPr>
      </w:pPr>
      <w:r w:rsidRPr="0072134F">
        <w:rPr>
          <w:rFonts w:ascii="Arial" w:eastAsia="Times New Roman" w:hAnsi="Arial" w:cs="Arial"/>
          <w:color w:val="2D2D35"/>
        </w:rPr>
        <w:t>Individuals can deduct the state and local taxes they pay, but the value is subject to certain limits for high earners.</w:t>
      </w:r>
    </w:p>
    <w:p w:rsidR="003D296F" w:rsidRPr="000117CF" w:rsidRDefault="003D296F" w:rsidP="0072134F">
      <w:pPr>
        <w:spacing w:line="240" w:lineRule="auto"/>
        <w:rPr>
          <w:rFonts w:ascii="Arial" w:eastAsia="Times New Roman" w:hAnsi="Arial" w:cs="Arial"/>
          <w:color w:val="2D2D35"/>
        </w:rPr>
      </w:pPr>
    </w:p>
    <w:p w:rsidR="003D296F" w:rsidRPr="000117CF" w:rsidRDefault="003D296F"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0117C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t>It will </w:t>
      </w:r>
      <w:r w:rsidRPr="0072134F">
        <w:rPr>
          <w:rFonts w:ascii="Arial" w:eastAsia="Times New Roman" w:hAnsi="Arial" w:cs="Arial"/>
          <w:b/>
          <w:bCs/>
          <w:color w:val="2D2D35"/>
        </w:rPr>
        <w:t>cap the deduction at $10,000</w:t>
      </w:r>
      <w:r w:rsidRPr="0072134F">
        <w:rPr>
          <w:rFonts w:ascii="Arial" w:eastAsia="Times New Roman" w:hAnsi="Arial" w:cs="Arial"/>
          <w:color w:val="2D2D35"/>
        </w:rPr>
        <w:t>, which could include a combination of property taxes and either sales or income taxes.</w:t>
      </w:r>
    </w:p>
    <w:p w:rsidR="003D296F" w:rsidRPr="0072134F" w:rsidRDefault="003D296F" w:rsidP="0072134F">
      <w:pPr>
        <w:spacing w:line="240" w:lineRule="auto"/>
        <w:rPr>
          <w:rFonts w:ascii="Arial" w:eastAsia="Times New Roman" w:hAnsi="Arial" w:cs="Arial"/>
          <w:color w:val="2D2D35"/>
        </w:rPr>
      </w:pP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Mortgage Interest Deduction</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Individual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6B221"/>
        </w:rPr>
        <w:t>REVISE</w:t>
      </w:r>
    </w:p>
    <w:p w:rsidR="003D296F" w:rsidRPr="000117CF" w:rsidRDefault="003D296F" w:rsidP="003D296F">
      <w:pPr>
        <w:spacing w:line="240" w:lineRule="auto"/>
        <w:rPr>
          <w:rFonts w:ascii="Arial" w:eastAsia="Times New Roman" w:hAnsi="Arial" w:cs="Arial"/>
          <w:b/>
          <w:color w:val="2D2D35"/>
        </w:rPr>
      </w:pPr>
      <w:r w:rsidRPr="000117CF">
        <w:rPr>
          <w:rFonts w:ascii="Arial" w:eastAsia="Times New Roman" w:hAnsi="Arial" w:cs="Arial"/>
          <w:b/>
          <w:color w:val="2D2D35"/>
        </w:rPr>
        <w:t>Previous</w:t>
      </w:r>
    </w:p>
    <w:p w:rsidR="0072134F" w:rsidRPr="0072134F" w:rsidRDefault="0072134F" w:rsidP="0072134F">
      <w:pPr>
        <w:spacing w:after="0" w:line="240" w:lineRule="auto"/>
        <w:rPr>
          <w:rFonts w:ascii="Arial" w:eastAsia="Times New Roman" w:hAnsi="Arial" w:cs="Arial"/>
          <w:color w:val="2D2D35"/>
        </w:rPr>
      </w:pPr>
      <w:r w:rsidRPr="0072134F">
        <w:rPr>
          <w:rFonts w:ascii="Arial" w:eastAsia="Times New Roman" w:hAnsi="Arial" w:cs="Arial"/>
          <w:color w:val="2D2D35"/>
        </w:rPr>
        <w:t>Deductible mortgage interest is capped at loans of $1 million.</w:t>
      </w:r>
    </w:p>
    <w:p w:rsidR="003D296F" w:rsidRPr="000117CF" w:rsidRDefault="003D296F" w:rsidP="0072134F">
      <w:pPr>
        <w:spacing w:line="240" w:lineRule="auto"/>
        <w:rPr>
          <w:rFonts w:ascii="Arial" w:eastAsia="Times New Roman" w:hAnsi="Arial" w:cs="Arial"/>
          <w:color w:val="2D2D35"/>
        </w:rPr>
      </w:pPr>
    </w:p>
    <w:p w:rsidR="003D296F" w:rsidRPr="000117CF" w:rsidRDefault="003D296F"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0117C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t>It will limit deductible mortgage interest for </w:t>
      </w:r>
      <w:r w:rsidRPr="0072134F">
        <w:rPr>
          <w:rFonts w:ascii="Arial" w:eastAsia="Times New Roman" w:hAnsi="Arial" w:cs="Arial"/>
          <w:b/>
          <w:bCs/>
          <w:color w:val="2D2D35"/>
        </w:rPr>
        <w:t>newly purchased first or second homes</w:t>
      </w:r>
      <w:r w:rsidRPr="0072134F">
        <w:rPr>
          <w:rFonts w:ascii="Arial" w:eastAsia="Times New Roman" w:hAnsi="Arial" w:cs="Arial"/>
          <w:color w:val="2D2D35"/>
        </w:rPr>
        <w:t> to loans of </w:t>
      </w:r>
      <w:r w:rsidRPr="0072134F">
        <w:rPr>
          <w:rFonts w:ascii="Arial" w:eastAsia="Times New Roman" w:hAnsi="Arial" w:cs="Arial"/>
          <w:b/>
          <w:bCs/>
          <w:color w:val="2D2D35"/>
        </w:rPr>
        <w:t>$750,000 or less</w:t>
      </w:r>
      <w:r w:rsidRPr="0072134F">
        <w:rPr>
          <w:rFonts w:ascii="Arial" w:eastAsia="Times New Roman" w:hAnsi="Arial" w:cs="Arial"/>
          <w:color w:val="2D2D35"/>
        </w:rPr>
        <w:t>, starting </w:t>
      </w:r>
      <w:r w:rsidRPr="0072134F">
        <w:rPr>
          <w:rFonts w:ascii="Arial" w:eastAsia="Times New Roman" w:hAnsi="Arial" w:cs="Arial"/>
          <w:b/>
          <w:bCs/>
          <w:color w:val="2D2D35"/>
        </w:rPr>
        <w:t>in 2018</w:t>
      </w:r>
      <w:r w:rsidRPr="0072134F">
        <w:rPr>
          <w:rFonts w:ascii="Arial" w:eastAsia="Times New Roman" w:hAnsi="Arial" w:cs="Arial"/>
          <w:color w:val="2D2D35"/>
        </w:rPr>
        <w:t>.</w:t>
      </w:r>
    </w:p>
    <w:p w:rsidR="003D296F" w:rsidRPr="0072134F" w:rsidRDefault="003D296F" w:rsidP="0072134F">
      <w:pPr>
        <w:spacing w:line="240" w:lineRule="auto"/>
        <w:rPr>
          <w:rFonts w:ascii="Arial" w:eastAsia="Times New Roman" w:hAnsi="Arial" w:cs="Arial"/>
          <w:color w:val="2D2D35"/>
        </w:rPr>
      </w:pP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Medical Expense Deduction</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Individual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6B221"/>
        </w:rPr>
        <w:t>REVISE</w:t>
      </w:r>
    </w:p>
    <w:p w:rsidR="003D296F" w:rsidRPr="000117CF" w:rsidRDefault="003D296F" w:rsidP="003D296F">
      <w:pPr>
        <w:spacing w:line="240" w:lineRule="auto"/>
        <w:rPr>
          <w:rFonts w:ascii="Arial" w:eastAsia="Times New Roman" w:hAnsi="Arial" w:cs="Arial"/>
          <w:b/>
          <w:color w:val="2D2D35"/>
        </w:rPr>
      </w:pPr>
      <w:r w:rsidRPr="000117CF">
        <w:rPr>
          <w:rFonts w:ascii="Arial" w:eastAsia="Times New Roman" w:hAnsi="Arial" w:cs="Arial"/>
          <w:b/>
          <w:color w:val="2D2D35"/>
        </w:rPr>
        <w:t>Previous</w:t>
      </w:r>
    </w:p>
    <w:p w:rsidR="0072134F" w:rsidRPr="000117CF" w:rsidRDefault="0072134F" w:rsidP="0072134F">
      <w:pPr>
        <w:spacing w:after="0" w:line="240" w:lineRule="auto"/>
        <w:rPr>
          <w:rFonts w:ascii="Arial" w:eastAsia="Times New Roman" w:hAnsi="Arial" w:cs="Arial"/>
          <w:color w:val="2D2D35"/>
        </w:rPr>
      </w:pPr>
      <w:r w:rsidRPr="0072134F">
        <w:rPr>
          <w:rFonts w:ascii="Arial" w:eastAsia="Times New Roman" w:hAnsi="Arial" w:cs="Arial"/>
          <w:color w:val="2D2D35"/>
        </w:rPr>
        <w:t>Qualified medical expenses that exceed </w:t>
      </w:r>
      <w:r w:rsidRPr="0072134F">
        <w:rPr>
          <w:rFonts w:ascii="Arial" w:eastAsia="Times New Roman" w:hAnsi="Arial" w:cs="Arial"/>
          <w:b/>
          <w:bCs/>
          <w:color w:val="2D2D35"/>
        </w:rPr>
        <w:t xml:space="preserve">10 </w:t>
      </w:r>
      <w:proofErr w:type="spellStart"/>
      <w:r w:rsidRPr="0072134F">
        <w:rPr>
          <w:rFonts w:ascii="Arial" w:eastAsia="Times New Roman" w:hAnsi="Arial" w:cs="Arial"/>
          <w:b/>
          <w:bCs/>
          <w:color w:val="2D2D35"/>
        </w:rPr>
        <w:t>percent</w:t>
      </w:r>
      <w:r w:rsidRPr="0072134F">
        <w:rPr>
          <w:rFonts w:ascii="Arial" w:eastAsia="Times New Roman" w:hAnsi="Arial" w:cs="Arial"/>
          <w:color w:val="2D2D35"/>
        </w:rPr>
        <w:t>of</w:t>
      </w:r>
      <w:proofErr w:type="spellEnd"/>
      <w:r w:rsidRPr="0072134F">
        <w:rPr>
          <w:rFonts w:ascii="Arial" w:eastAsia="Times New Roman" w:hAnsi="Arial" w:cs="Arial"/>
          <w:color w:val="2D2D35"/>
        </w:rPr>
        <w:t xml:space="preserve"> the taxpayer’s adjusted gross income are deductible.</w:t>
      </w:r>
    </w:p>
    <w:p w:rsidR="003D296F" w:rsidRPr="0072134F" w:rsidRDefault="003D296F" w:rsidP="0072134F">
      <w:pPr>
        <w:spacing w:after="0" w:line="240" w:lineRule="auto"/>
        <w:rPr>
          <w:rFonts w:ascii="Arial" w:eastAsia="Times New Roman" w:hAnsi="Arial" w:cs="Arial"/>
          <w:color w:val="2D2D35"/>
        </w:rPr>
      </w:pPr>
    </w:p>
    <w:p w:rsidR="003D296F" w:rsidRPr="000117CF" w:rsidRDefault="003D296F"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0117C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t>It will reduce the threshold to </w:t>
      </w:r>
      <w:r w:rsidRPr="0072134F">
        <w:rPr>
          <w:rFonts w:ascii="Arial" w:eastAsia="Times New Roman" w:hAnsi="Arial" w:cs="Arial"/>
          <w:b/>
          <w:bCs/>
          <w:color w:val="2D2D35"/>
        </w:rPr>
        <w:t>7.5 percent</w:t>
      </w:r>
      <w:r w:rsidRPr="0072134F">
        <w:rPr>
          <w:rFonts w:ascii="Arial" w:eastAsia="Times New Roman" w:hAnsi="Arial" w:cs="Arial"/>
          <w:color w:val="2D2D35"/>
        </w:rPr>
        <w:t> of adjusted gross income for 2017 and 2018.</w:t>
      </w:r>
    </w:p>
    <w:p w:rsidR="00B14509" w:rsidRPr="000117CF" w:rsidRDefault="00B14509" w:rsidP="0072134F">
      <w:pPr>
        <w:spacing w:line="240" w:lineRule="auto"/>
        <w:rPr>
          <w:rFonts w:ascii="Arial" w:eastAsia="Times New Roman" w:hAnsi="Arial" w:cs="Arial"/>
          <w:color w:val="2D2D35"/>
        </w:rPr>
      </w:pPr>
    </w:p>
    <w:p w:rsidR="00B14509" w:rsidRPr="0072134F" w:rsidRDefault="00B14509" w:rsidP="0072134F">
      <w:pPr>
        <w:spacing w:line="240" w:lineRule="auto"/>
        <w:rPr>
          <w:rFonts w:ascii="Arial" w:eastAsia="Times New Roman" w:hAnsi="Arial" w:cs="Arial"/>
          <w:color w:val="2D2D35"/>
        </w:rPr>
      </w:pP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Child Tax Credit</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Individual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6B221"/>
        </w:rPr>
        <w:t>REVISE</w:t>
      </w:r>
    </w:p>
    <w:p w:rsidR="00B14509" w:rsidRPr="000117CF" w:rsidRDefault="00B14509" w:rsidP="00B14509">
      <w:pPr>
        <w:spacing w:line="240" w:lineRule="auto"/>
        <w:rPr>
          <w:rFonts w:ascii="Arial" w:eastAsia="Times New Roman" w:hAnsi="Arial" w:cs="Arial"/>
          <w:b/>
          <w:color w:val="2D2D35"/>
        </w:rPr>
      </w:pPr>
      <w:r w:rsidRPr="000117CF">
        <w:rPr>
          <w:rFonts w:ascii="Arial" w:eastAsia="Times New Roman" w:hAnsi="Arial" w:cs="Arial"/>
          <w:b/>
          <w:color w:val="2D2D35"/>
        </w:rPr>
        <w:t>Previous</w:t>
      </w:r>
    </w:p>
    <w:p w:rsidR="0072134F" w:rsidRPr="0072134F" w:rsidRDefault="0072134F" w:rsidP="0072134F">
      <w:pPr>
        <w:spacing w:after="0" w:line="240" w:lineRule="auto"/>
        <w:rPr>
          <w:rFonts w:ascii="Arial" w:eastAsia="Times New Roman" w:hAnsi="Arial" w:cs="Arial"/>
          <w:color w:val="2D2D35"/>
        </w:rPr>
      </w:pPr>
      <w:r w:rsidRPr="0072134F">
        <w:rPr>
          <w:rFonts w:ascii="Arial" w:eastAsia="Times New Roman" w:hAnsi="Arial" w:cs="Arial"/>
          <w:color w:val="2D2D35"/>
        </w:rPr>
        <w:t>Families may claim a </w:t>
      </w:r>
      <w:r w:rsidRPr="0072134F">
        <w:rPr>
          <w:rFonts w:ascii="Arial" w:eastAsia="Times New Roman" w:hAnsi="Arial" w:cs="Arial"/>
          <w:b/>
          <w:bCs/>
          <w:color w:val="2D2D35"/>
        </w:rPr>
        <w:t>$1,000 credit for each child under 17</w:t>
      </w:r>
      <w:r w:rsidRPr="0072134F">
        <w:rPr>
          <w:rFonts w:ascii="Arial" w:eastAsia="Times New Roman" w:hAnsi="Arial" w:cs="Arial"/>
          <w:color w:val="2D2D35"/>
        </w:rPr>
        <w:t>. The credit begins phasing out for couples earning more than </w:t>
      </w:r>
      <w:r w:rsidRPr="0072134F">
        <w:rPr>
          <w:rFonts w:ascii="Arial" w:eastAsia="Times New Roman" w:hAnsi="Arial" w:cs="Arial"/>
          <w:b/>
          <w:bCs/>
          <w:color w:val="2D2D35"/>
        </w:rPr>
        <w:t>$110,000</w:t>
      </w:r>
      <w:r w:rsidRPr="0072134F">
        <w:rPr>
          <w:rFonts w:ascii="Arial" w:eastAsia="Times New Roman" w:hAnsi="Arial" w:cs="Arial"/>
          <w:color w:val="2D2D35"/>
        </w:rPr>
        <w:t>. The credit is at least </w:t>
      </w:r>
      <w:r w:rsidRPr="0072134F">
        <w:rPr>
          <w:rFonts w:ascii="Arial" w:eastAsia="Times New Roman" w:hAnsi="Arial" w:cs="Arial"/>
          <w:b/>
          <w:bCs/>
          <w:color w:val="2D2D35"/>
        </w:rPr>
        <w:t>partially refundable</w:t>
      </w:r>
      <w:r w:rsidRPr="0072134F">
        <w:rPr>
          <w:rFonts w:ascii="Arial" w:eastAsia="Times New Roman" w:hAnsi="Arial" w:cs="Arial"/>
          <w:color w:val="2D2D35"/>
        </w:rPr>
        <w:t> to qualified taxpayers who earned more than $3,000.</w:t>
      </w:r>
    </w:p>
    <w:p w:rsidR="00B14509" w:rsidRPr="000117CF" w:rsidRDefault="00B14509" w:rsidP="0072134F">
      <w:pPr>
        <w:spacing w:line="240" w:lineRule="auto"/>
        <w:rPr>
          <w:rFonts w:ascii="Arial" w:eastAsia="Times New Roman" w:hAnsi="Arial" w:cs="Arial"/>
          <w:color w:val="2D2D35"/>
        </w:rPr>
      </w:pPr>
    </w:p>
    <w:p w:rsidR="00B14509" w:rsidRPr="000117CF" w:rsidRDefault="00B14509"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72134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t>It will double the credit to </w:t>
      </w:r>
      <w:r w:rsidRPr="0072134F">
        <w:rPr>
          <w:rFonts w:ascii="Arial" w:eastAsia="Times New Roman" w:hAnsi="Arial" w:cs="Arial"/>
          <w:b/>
          <w:bCs/>
          <w:color w:val="2D2D35"/>
        </w:rPr>
        <w:t>$2,000 per child younger than 17</w:t>
      </w:r>
      <w:r w:rsidRPr="0072134F">
        <w:rPr>
          <w:rFonts w:ascii="Arial" w:eastAsia="Times New Roman" w:hAnsi="Arial" w:cs="Arial"/>
          <w:color w:val="2D2D35"/>
        </w:rPr>
        <w:t> through </w:t>
      </w:r>
      <w:r w:rsidRPr="0072134F">
        <w:rPr>
          <w:rFonts w:ascii="Arial" w:eastAsia="Times New Roman" w:hAnsi="Arial" w:cs="Arial"/>
          <w:b/>
          <w:bCs/>
          <w:color w:val="2D2D35"/>
        </w:rPr>
        <w:t>2025</w:t>
      </w:r>
      <w:r w:rsidRPr="0072134F">
        <w:rPr>
          <w:rFonts w:ascii="Arial" w:eastAsia="Times New Roman" w:hAnsi="Arial" w:cs="Arial"/>
          <w:color w:val="2D2D35"/>
        </w:rPr>
        <w:t>. It will raise the phase-out threshold to </w:t>
      </w:r>
      <w:r w:rsidRPr="0072134F">
        <w:rPr>
          <w:rFonts w:ascii="Arial" w:eastAsia="Times New Roman" w:hAnsi="Arial" w:cs="Arial"/>
          <w:b/>
          <w:bCs/>
          <w:color w:val="2D2D35"/>
        </w:rPr>
        <w:t>$400,000</w:t>
      </w:r>
      <w:r w:rsidRPr="0072134F">
        <w:rPr>
          <w:rFonts w:ascii="Arial" w:eastAsia="Times New Roman" w:hAnsi="Arial" w:cs="Arial"/>
          <w:color w:val="2D2D35"/>
        </w:rPr>
        <w:t> and cap the refundable portion at </w:t>
      </w:r>
      <w:r w:rsidRPr="0072134F">
        <w:rPr>
          <w:rFonts w:ascii="Arial" w:eastAsia="Times New Roman" w:hAnsi="Arial" w:cs="Arial"/>
          <w:b/>
          <w:bCs/>
          <w:color w:val="2D2D35"/>
        </w:rPr>
        <w:t>$1,400</w:t>
      </w:r>
      <w:r w:rsidRPr="0072134F">
        <w:rPr>
          <w:rFonts w:ascii="Arial" w:eastAsia="Times New Roman" w:hAnsi="Arial" w:cs="Arial"/>
          <w:color w:val="2D2D35"/>
        </w:rPr>
        <w:t> in 2018.</w:t>
      </w:r>
    </w:p>
    <w:p w:rsidR="00B14509" w:rsidRPr="000117CF" w:rsidRDefault="00B14509" w:rsidP="0072134F">
      <w:pPr>
        <w:spacing w:after="0" w:line="240" w:lineRule="auto"/>
        <w:jc w:val="center"/>
        <w:rPr>
          <w:rFonts w:ascii="Arial" w:eastAsia="Times New Roman" w:hAnsi="Arial" w:cs="Arial"/>
          <w:b/>
          <w:bCs/>
          <w:color w:val="2D2D35"/>
        </w:rPr>
      </w:pPr>
    </w:p>
    <w:p w:rsidR="0072134F" w:rsidRPr="0072134F" w:rsidRDefault="0072134F" w:rsidP="0072134F">
      <w:pPr>
        <w:spacing w:after="0" w:line="240" w:lineRule="auto"/>
        <w:jc w:val="center"/>
        <w:rPr>
          <w:rFonts w:ascii="Arial" w:eastAsia="Times New Roman" w:hAnsi="Arial" w:cs="Arial"/>
          <w:b/>
          <w:bCs/>
          <w:color w:val="2D2D35"/>
        </w:rPr>
      </w:pPr>
      <w:r w:rsidRPr="0072134F">
        <w:rPr>
          <w:rFonts w:ascii="Arial" w:eastAsia="Times New Roman" w:hAnsi="Arial" w:cs="Arial"/>
          <w:b/>
          <w:bCs/>
          <w:color w:val="2D2D35"/>
        </w:rPr>
        <w:t>Estate tax</w:t>
      </w:r>
    </w:p>
    <w:p w:rsidR="0072134F" w:rsidRPr="0072134F" w:rsidRDefault="0072134F" w:rsidP="0072134F">
      <w:pPr>
        <w:spacing w:line="240" w:lineRule="auto"/>
        <w:jc w:val="center"/>
        <w:rPr>
          <w:rFonts w:ascii="Arial" w:eastAsia="Times New Roman" w:hAnsi="Arial" w:cs="Arial"/>
          <w:color w:val="2D2D35"/>
        </w:rPr>
      </w:pPr>
      <w:r w:rsidRPr="0072134F">
        <w:rPr>
          <w:rFonts w:ascii="Arial" w:eastAsia="Times New Roman" w:hAnsi="Arial" w:cs="Arial"/>
          <w:color w:val="2D2D35"/>
        </w:rPr>
        <w:t>Individual tax provision</w:t>
      </w:r>
    </w:p>
    <w:p w:rsidR="0072134F" w:rsidRPr="0072134F" w:rsidRDefault="0072134F" w:rsidP="0072134F">
      <w:pPr>
        <w:spacing w:after="0" w:line="240" w:lineRule="auto"/>
        <w:jc w:val="center"/>
        <w:rPr>
          <w:rFonts w:ascii="Arial" w:eastAsia="Times New Roman" w:hAnsi="Arial" w:cs="Arial"/>
          <w:color w:val="2D2D35"/>
        </w:rPr>
      </w:pPr>
      <w:r w:rsidRPr="000117CF">
        <w:rPr>
          <w:rFonts w:ascii="Arial" w:eastAsia="Times New Roman" w:hAnsi="Arial" w:cs="Arial"/>
          <w:caps/>
          <w:color w:val="FFFFFF"/>
          <w:shd w:val="clear" w:color="auto" w:fill="F6B221"/>
        </w:rPr>
        <w:t>REVISE</w:t>
      </w:r>
    </w:p>
    <w:p w:rsidR="00B14509" w:rsidRPr="000117CF" w:rsidRDefault="00B14509" w:rsidP="00B14509">
      <w:pPr>
        <w:spacing w:line="240" w:lineRule="auto"/>
        <w:rPr>
          <w:rFonts w:ascii="Arial" w:eastAsia="Times New Roman" w:hAnsi="Arial" w:cs="Arial"/>
          <w:b/>
          <w:color w:val="2D2D35"/>
        </w:rPr>
      </w:pPr>
      <w:r w:rsidRPr="000117CF">
        <w:rPr>
          <w:rFonts w:ascii="Arial" w:eastAsia="Times New Roman" w:hAnsi="Arial" w:cs="Arial"/>
          <w:b/>
          <w:color w:val="2D2D35"/>
        </w:rPr>
        <w:t>Previous</w:t>
      </w:r>
    </w:p>
    <w:p w:rsidR="0072134F" w:rsidRPr="0072134F" w:rsidRDefault="0072134F" w:rsidP="0072134F">
      <w:pPr>
        <w:spacing w:after="0" w:line="240" w:lineRule="auto"/>
        <w:rPr>
          <w:rFonts w:ascii="Arial" w:eastAsia="Times New Roman" w:hAnsi="Arial" w:cs="Arial"/>
          <w:color w:val="2D2D35"/>
        </w:rPr>
      </w:pPr>
      <w:r w:rsidRPr="0072134F">
        <w:rPr>
          <w:rFonts w:ascii="Arial" w:eastAsia="Times New Roman" w:hAnsi="Arial" w:cs="Arial"/>
          <w:color w:val="2D2D35"/>
        </w:rPr>
        <w:lastRenderedPageBreak/>
        <w:t>Heirs must pay </w:t>
      </w:r>
      <w:r w:rsidRPr="0072134F">
        <w:rPr>
          <w:rFonts w:ascii="Arial" w:eastAsia="Times New Roman" w:hAnsi="Arial" w:cs="Arial"/>
          <w:b/>
          <w:bCs/>
          <w:color w:val="2D2D35"/>
        </w:rPr>
        <w:t>40 percent</w:t>
      </w:r>
      <w:r w:rsidRPr="0072134F">
        <w:rPr>
          <w:rFonts w:ascii="Arial" w:eastAsia="Times New Roman" w:hAnsi="Arial" w:cs="Arial"/>
          <w:color w:val="2D2D35"/>
        </w:rPr>
        <w:t> in tax on estates worth more than </w:t>
      </w:r>
      <w:r w:rsidRPr="0072134F">
        <w:rPr>
          <w:rFonts w:ascii="Arial" w:eastAsia="Times New Roman" w:hAnsi="Arial" w:cs="Arial"/>
          <w:b/>
          <w:bCs/>
          <w:color w:val="2D2D35"/>
        </w:rPr>
        <w:t>$5.49 million</w:t>
      </w:r>
      <w:r w:rsidRPr="0072134F">
        <w:rPr>
          <w:rFonts w:ascii="Arial" w:eastAsia="Times New Roman" w:hAnsi="Arial" w:cs="Arial"/>
          <w:color w:val="2D2D35"/>
        </w:rPr>
        <w:t> for individuals and </w:t>
      </w:r>
      <w:r w:rsidRPr="0072134F">
        <w:rPr>
          <w:rFonts w:ascii="Arial" w:eastAsia="Times New Roman" w:hAnsi="Arial" w:cs="Arial"/>
          <w:b/>
          <w:bCs/>
          <w:color w:val="2D2D35"/>
        </w:rPr>
        <w:t>$10.98 million</w:t>
      </w:r>
      <w:r w:rsidRPr="0072134F">
        <w:rPr>
          <w:rFonts w:ascii="Arial" w:eastAsia="Times New Roman" w:hAnsi="Arial" w:cs="Arial"/>
          <w:color w:val="2D2D35"/>
        </w:rPr>
        <w:t> for couples.</w:t>
      </w:r>
    </w:p>
    <w:p w:rsidR="00B14509" w:rsidRPr="000117CF" w:rsidRDefault="00B14509" w:rsidP="0072134F">
      <w:pPr>
        <w:spacing w:line="240" w:lineRule="auto"/>
        <w:rPr>
          <w:rFonts w:ascii="Arial" w:eastAsia="Times New Roman" w:hAnsi="Arial" w:cs="Arial"/>
          <w:color w:val="2D2D35"/>
        </w:rPr>
      </w:pPr>
    </w:p>
    <w:p w:rsidR="00B14509" w:rsidRPr="000117CF" w:rsidRDefault="00B14509" w:rsidP="0072134F">
      <w:pPr>
        <w:spacing w:line="240" w:lineRule="auto"/>
        <w:rPr>
          <w:rFonts w:ascii="Arial" w:eastAsia="Times New Roman" w:hAnsi="Arial" w:cs="Arial"/>
          <w:b/>
          <w:color w:val="2D2D35"/>
        </w:rPr>
      </w:pPr>
      <w:r w:rsidRPr="000117CF">
        <w:rPr>
          <w:rFonts w:ascii="Arial" w:eastAsia="Times New Roman" w:hAnsi="Arial" w:cs="Arial"/>
          <w:b/>
          <w:color w:val="2D2D35"/>
        </w:rPr>
        <w:t>New</w:t>
      </w:r>
    </w:p>
    <w:p w:rsidR="0072134F" w:rsidRPr="0072134F" w:rsidRDefault="0072134F" w:rsidP="0072134F">
      <w:pPr>
        <w:spacing w:line="240" w:lineRule="auto"/>
        <w:rPr>
          <w:rFonts w:ascii="Arial" w:eastAsia="Times New Roman" w:hAnsi="Arial" w:cs="Arial"/>
          <w:color w:val="2D2D35"/>
        </w:rPr>
      </w:pPr>
      <w:r w:rsidRPr="0072134F">
        <w:rPr>
          <w:rFonts w:ascii="Arial" w:eastAsia="Times New Roman" w:hAnsi="Arial" w:cs="Arial"/>
          <w:color w:val="2D2D35"/>
        </w:rPr>
        <w:t>It will </w:t>
      </w:r>
      <w:r w:rsidRPr="0072134F">
        <w:rPr>
          <w:rFonts w:ascii="Arial" w:eastAsia="Times New Roman" w:hAnsi="Arial" w:cs="Arial"/>
          <w:b/>
          <w:bCs/>
          <w:color w:val="2D2D35"/>
        </w:rPr>
        <w:t xml:space="preserve">double the </w:t>
      </w:r>
      <w:proofErr w:type="gramStart"/>
      <w:r w:rsidRPr="0072134F">
        <w:rPr>
          <w:rFonts w:ascii="Arial" w:eastAsia="Times New Roman" w:hAnsi="Arial" w:cs="Arial"/>
          <w:b/>
          <w:bCs/>
          <w:color w:val="2D2D35"/>
        </w:rPr>
        <w:t>thresholds</w:t>
      </w:r>
      <w:proofErr w:type="gramEnd"/>
      <w:r w:rsidRPr="0072134F">
        <w:rPr>
          <w:rFonts w:ascii="Arial" w:eastAsia="Times New Roman" w:hAnsi="Arial" w:cs="Arial"/>
          <w:color w:val="2D2D35"/>
        </w:rPr>
        <w:t> so the tax applies to fewer estates. The higher thresholds will </w:t>
      </w:r>
      <w:r w:rsidRPr="0072134F">
        <w:rPr>
          <w:rFonts w:ascii="Arial" w:eastAsia="Times New Roman" w:hAnsi="Arial" w:cs="Arial"/>
          <w:b/>
          <w:bCs/>
          <w:color w:val="2D2D35"/>
        </w:rPr>
        <w:t>sunset in 2026</w:t>
      </w:r>
      <w:r w:rsidRPr="0072134F">
        <w:rPr>
          <w:rFonts w:ascii="Arial" w:eastAsia="Times New Roman" w:hAnsi="Arial" w:cs="Arial"/>
          <w:color w:val="2D2D35"/>
        </w:rPr>
        <w:t>.</w:t>
      </w:r>
    </w:p>
    <w:p w:rsidR="000F3DD3" w:rsidRPr="000117CF" w:rsidRDefault="000F3DD3" w:rsidP="000F3DD3">
      <w:pPr>
        <w:rPr>
          <w:rFonts w:ascii="Arial" w:eastAsia="Times New Roman" w:hAnsi="Arial" w:cs="Arial"/>
          <w:color w:val="2D2D35"/>
        </w:rPr>
      </w:pPr>
    </w:p>
    <w:p w:rsidR="000F3DD3" w:rsidRPr="000117CF" w:rsidRDefault="000F3DD3" w:rsidP="000F3DD3">
      <w:pPr>
        <w:rPr>
          <w:rFonts w:ascii="Arial" w:eastAsia="Times New Roman" w:hAnsi="Arial" w:cs="Arial"/>
          <w:color w:val="2D2D35"/>
        </w:rPr>
      </w:pPr>
      <w:r w:rsidRPr="000117CF">
        <w:rPr>
          <w:rFonts w:ascii="Arial" w:eastAsia="Times New Roman" w:hAnsi="Arial" w:cs="Arial"/>
          <w:color w:val="2D2D35"/>
        </w:rPr>
        <w:t xml:space="preserve">As you may be aware, there are some provisions in the tax code that may yet need to be amended.  We will continue to follow developments closely and update our clients as we receive information.  In the meantime, if you have any questions please contact us at </w:t>
      </w:r>
      <w:hyperlink r:id="rId4" w:history="1">
        <w:r w:rsidRPr="000117CF">
          <w:rPr>
            <w:rFonts w:ascii="Arial" w:eastAsia="Times New Roman" w:hAnsi="Arial" w:cs="Arial"/>
            <w:color w:val="2D2D35"/>
          </w:rPr>
          <w:t>chilobe@kalambocpa.com</w:t>
        </w:r>
      </w:hyperlink>
      <w:r w:rsidRPr="000117CF">
        <w:rPr>
          <w:rFonts w:ascii="Arial" w:eastAsia="Times New Roman" w:hAnsi="Arial" w:cs="Arial"/>
          <w:color w:val="2D2D35"/>
        </w:rPr>
        <w:t xml:space="preserve"> or </w:t>
      </w:r>
      <w:hyperlink r:id="rId5" w:history="1">
        <w:r w:rsidRPr="000117CF">
          <w:rPr>
            <w:rFonts w:ascii="Arial" w:eastAsia="Times New Roman" w:hAnsi="Arial" w:cs="Arial"/>
            <w:color w:val="2D2D35"/>
          </w:rPr>
          <w:t>info@kalambocpa.com</w:t>
        </w:r>
      </w:hyperlink>
      <w:r w:rsidRPr="000117CF">
        <w:rPr>
          <w:rFonts w:ascii="Arial" w:eastAsia="Times New Roman" w:hAnsi="Arial" w:cs="Arial"/>
          <w:color w:val="2D2D35"/>
        </w:rPr>
        <w:t>.</w:t>
      </w:r>
    </w:p>
    <w:p w:rsidR="000F3DD3" w:rsidRPr="000117CF" w:rsidRDefault="000F3DD3">
      <w:pPr>
        <w:rPr>
          <w:rFonts w:ascii="Arial" w:hAnsi="Arial" w:cs="Arial"/>
        </w:rPr>
      </w:pPr>
    </w:p>
    <w:sectPr w:rsidR="000F3DD3" w:rsidRPr="0001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4F"/>
    <w:rsid w:val="000117CF"/>
    <w:rsid w:val="000F3DD3"/>
    <w:rsid w:val="003D296F"/>
    <w:rsid w:val="0072134F"/>
    <w:rsid w:val="00721890"/>
    <w:rsid w:val="00766C96"/>
    <w:rsid w:val="00B14509"/>
    <w:rsid w:val="00B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FA2A"/>
  <w15:chartTrackingRefBased/>
  <w15:docId w15:val="{E643779C-D391-401C-BEFF-98700206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213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34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213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vision-action">
    <w:name w:val="provision-action"/>
    <w:basedOn w:val="DefaultParagraphFont"/>
    <w:rsid w:val="0072134F"/>
  </w:style>
  <w:style w:type="character" w:styleId="Hyperlink">
    <w:name w:val="Hyperlink"/>
    <w:basedOn w:val="DefaultParagraphFont"/>
    <w:uiPriority w:val="99"/>
    <w:unhideWhenUsed/>
    <w:rsid w:val="000F3DD3"/>
    <w:rPr>
      <w:color w:val="0563C1" w:themeColor="hyperlink"/>
      <w:u w:val="single"/>
    </w:rPr>
  </w:style>
  <w:style w:type="character" w:styleId="UnresolvedMention">
    <w:name w:val="Unresolved Mention"/>
    <w:basedOn w:val="DefaultParagraphFont"/>
    <w:uiPriority w:val="99"/>
    <w:semiHidden/>
    <w:unhideWhenUsed/>
    <w:rsid w:val="000F3D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383">
      <w:bodyDiv w:val="1"/>
      <w:marLeft w:val="0"/>
      <w:marRight w:val="0"/>
      <w:marTop w:val="0"/>
      <w:marBottom w:val="0"/>
      <w:divBdr>
        <w:top w:val="none" w:sz="0" w:space="0" w:color="auto"/>
        <w:left w:val="none" w:sz="0" w:space="0" w:color="auto"/>
        <w:bottom w:val="none" w:sz="0" w:space="0" w:color="auto"/>
        <w:right w:val="none" w:sz="0" w:space="0" w:color="auto"/>
      </w:divBdr>
      <w:divsChild>
        <w:div w:id="560363168">
          <w:marLeft w:val="0"/>
          <w:marRight w:val="0"/>
          <w:marTop w:val="420"/>
          <w:marBottom w:val="510"/>
          <w:divBdr>
            <w:top w:val="none" w:sz="0" w:space="0" w:color="auto"/>
            <w:left w:val="none" w:sz="0" w:space="0" w:color="auto"/>
            <w:bottom w:val="none" w:sz="0" w:space="0" w:color="auto"/>
            <w:right w:val="none" w:sz="0" w:space="0" w:color="auto"/>
          </w:divBdr>
          <w:divsChild>
            <w:div w:id="1870681208">
              <w:marLeft w:val="0"/>
              <w:marRight w:val="0"/>
              <w:marTop w:val="0"/>
              <w:marBottom w:val="0"/>
              <w:divBdr>
                <w:top w:val="none" w:sz="0" w:space="0" w:color="auto"/>
                <w:left w:val="none" w:sz="0" w:space="0" w:color="auto"/>
                <w:bottom w:val="none" w:sz="0" w:space="0" w:color="auto"/>
                <w:right w:val="none" w:sz="0" w:space="0" w:color="auto"/>
              </w:divBdr>
            </w:div>
          </w:divsChild>
        </w:div>
        <w:div w:id="414479748">
          <w:marLeft w:val="0"/>
          <w:marRight w:val="0"/>
          <w:marTop w:val="0"/>
          <w:marBottom w:val="0"/>
          <w:divBdr>
            <w:top w:val="none" w:sz="0" w:space="0" w:color="auto"/>
            <w:left w:val="none" w:sz="0" w:space="0" w:color="auto"/>
            <w:bottom w:val="none" w:sz="0" w:space="0" w:color="auto"/>
            <w:right w:val="none" w:sz="0" w:space="0" w:color="auto"/>
          </w:divBdr>
          <w:divsChild>
            <w:div w:id="512689173">
              <w:marLeft w:val="0"/>
              <w:marRight w:val="0"/>
              <w:marTop w:val="0"/>
              <w:marBottom w:val="0"/>
              <w:divBdr>
                <w:top w:val="none" w:sz="0" w:space="0" w:color="auto"/>
                <w:left w:val="none" w:sz="0" w:space="0" w:color="auto"/>
                <w:bottom w:val="none" w:sz="0" w:space="0" w:color="auto"/>
                <w:right w:val="none" w:sz="0" w:space="0" w:color="auto"/>
              </w:divBdr>
              <w:divsChild>
                <w:div w:id="736632811">
                  <w:marLeft w:val="0"/>
                  <w:marRight w:val="480"/>
                  <w:marTop w:val="0"/>
                  <w:marBottom w:val="0"/>
                  <w:divBdr>
                    <w:top w:val="none" w:sz="0" w:space="0" w:color="auto"/>
                    <w:left w:val="none" w:sz="0" w:space="0" w:color="auto"/>
                    <w:bottom w:val="single" w:sz="6" w:space="4" w:color="000000"/>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sChild>
                </w:div>
                <w:div w:id="1594895691">
                  <w:marLeft w:val="0"/>
                  <w:marRight w:val="0"/>
                  <w:marTop w:val="0"/>
                  <w:marBottom w:val="0"/>
                  <w:divBdr>
                    <w:top w:val="none" w:sz="0" w:space="0" w:color="auto"/>
                    <w:left w:val="none" w:sz="0" w:space="0" w:color="auto"/>
                    <w:bottom w:val="single" w:sz="6" w:space="4" w:color="000000"/>
                    <w:right w:val="none" w:sz="0" w:space="0" w:color="auto"/>
                  </w:divBdr>
                  <w:divsChild>
                    <w:div w:id="2593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704">
              <w:marLeft w:val="0"/>
              <w:marRight w:val="0"/>
              <w:marTop w:val="0"/>
              <w:marBottom w:val="375"/>
              <w:divBdr>
                <w:top w:val="none" w:sz="0" w:space="0" w:color="auto"/>
                <w:left w:val="none" w:sz="0" w:space="0" w:color="auto"/>
                <w:bottom w:val="single" w:sz="6" w:space="19" w:color="D5D7D9"/>
                <w:right w:val="none" w:sz="0" w:space="0" w:color="auto"/>
              </w:divBdr>
              <w:divsChild>
                <w:div w:id="812261799">
                  <w:marLeft w:val="0"/>
                  <w:marRight w:val="0"/>
                  <w:marTop w:val="0"/>
                  <w:marBottom w:val="0"/>
                  <w:divBdr>
                    <w:top w:val="none" w:sz="0" w:space="0" w:color="auto"/>
                    <w:left w:val="none" w:sz="0" w:space="0" w:color="auto"/>
                    <w:bottom w:val="none" w:sz="0" w:space="0" w:color="auto"/>
                    <w:right w:val="none" w:sz="0" w:space="0" w:color="auto"/>
                  </w:divBdr>
                </w:div>
                <w:div w:id="149249210">
                  <w:marLeft w:val="0"/>
                  <w:marRight w:val="0"/>
                  <w:marTop w:val="0"/>
                  <w:marBottom w:val="225"/>
                  <w:divBdr>
                    <w:top w:val="none" w:sz="0" w:space="0" w:color="auto"/>
                    <w:left w:val="none" w:sz="0" w:space="0" w:color="auto"/>
                    <w:bottom w:val="none" w:sz="0" w:space="0" w:color="auto"/>
                    <w:right w:val="none" w:sz="0" w:space="0" w:color="auto"/>
                  </w:divBdr>
                </w:div>
                <w:div w:id="1411341752">
                  <w:marLeft w:val="0"/>
                  <w:marRight w:val="480"/>
                  <w:marTop w:val="150"/>
                  <w:marBottom w:val="0"/>
                  <w:divBdr>
                    <w:top w:val="none" w:sz="0" w:space="0" w:color="auto"/>
                    <w:left w:val="none" w:sz="0" w:space="0" w:color="auto"/>
                    <w:bottom w:val="none" w:sz="0" w:space="0" w:color="auto"/>
                    <w:right w:val="none" w:sz="0" w:space="0" w:color="auto"/>
                  </w:divBdr>
                  <w:divsChild>
                    <w:div w:id="2038265768">
                      <w:marLeft w:val="0"/>
                      <w:marRight w:val="0"/>
                      <w:marTop w:val="150"/>
                      <w:marBottom w:val="0"/>
                      <w:divBdr>
                        <w:top w:val="none" w:sz="0" w:space="0" w:color="auto"/>
                        <w:left w:val="none" w:sz="0" w:space="0" w:color="auto"/>
                        <w:bottom w:val="none" w:sz="0" w:space="0" w:color="auto"/>
                        <w:right w:val="none" w:sz="0" w:space="0" w:color="auto"/>
                      </w:divBdr>
                    </w:div>
                    <w:div w:id="999119086">
                      <w:marLeft w:val="0"/>
                      <w:marRight w:val="0"/>
                      <w:marTop w:val="0"/>
                      <w:marBottom w:val="0"/>
                      <w:divBdr>
                        <w:top w:val="none" w:sz="0" w:space="0" w:color="auto"/>
                        <w:left w:val="none" w:sz="0" w:space="0" w:color="auto"/>
                        <w:bottom w:val="none" w:sz="0" w:space="0" w:color="auto"/>
                        <w:right w:val="none" w:sz="0" w:space="0" w:color="auto"/>
                      </w:divBdr>
                    </w:div>
                  </w:divsChild>
                </w:div>
                <w:div w:id="579757867">
                  <w:marLeft w:val="0"/>
                  <w:marRight w:val="0"/>
                  <w:marTop w:val="150"/>
                  <w:marBottom w:val="0"/>
                  <w:divBdr>
                    <w:top w:val="none" w:sz="0" w:space="0" w:color="auto"/>
                    <w:left w:val="none" w:sz="0" w:space="0" w:color="auto"/>
                    <w:bottom w:val="none" w:sz="0" w:space="0" w:color="auto"/>
                    <w:right w:val="none" w:sz="0" w:space="0" w:color="auto"/>
                  </w:divBdr>
                  <w:divsChild>
                    <w:div w:id="190807943">
                      <w:marLeft w:val="0"/>
                      <w:marRight w:val="0"/>
                      <w:marTop w:val="150"/>
                      <w:marBottom w:val="0"/>
                      <w:divBdr>
                        <w:top w:val="none" w:sz="0" w:space="0" w:color="auto"/>
                        <w:left w:val="none" w:sz="0" w:space="0" w:color="auto"/>
                        <w:bottom w:val="none" w:sz="0" w:space="0" w:color="auto"/>
                        <w:right w:val="none" w:sz="0" w:space="0" w:color="auto"/>
                      </w:divBdr>
                    </w:div>
                    <w:div w:id="146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10269">
              <w:marLeft w:val="0"/>
              <w:marRight w:val="0"/>
              <w:marTop w:val="0"/>
              <w:marBottom w:val="375"/>
              <w:divBdr>
                <w:top w:val="none" w:sz="0" w:space="0" w:color="auto"/>
                <w:left w:val="none" w:sz="0" w:space="0" w:color="auto"/>
                <w:bottom w:val="single" w:sz="6" w:space="19" w:color="D5D7D9"/>
                <w:right w:val="none" w:sz="0" w:space="0" w:color="auto"/>
              </w:divBdr>
              <w:divsChild>
                <w:div w:id="1060248171">
                  <w:marLeft w:val="0"/>
                  <w:marRight w:val="0"/>
                  <w:marTop w:val="0"/>
                  <w:marBottom w:val="0"/>
                  <w:divBdr>
                    <w:top w:val="none" w:sz="0" w:space="0" w:color="auto"/>
                    <w:left w:val="none" w:sz="0" w:space="0" w:color="auto"/>
                    <w:bottom w:val="none" w:sz="0" w:space="0" w:color="auto"/>
                    <w:right w:val="none" w:sz="0" w:space="0" w:color="auto"/>
                  </w:divBdr>
                </w:div>
                <w:div w:id="93090694">
                  <w:marLeft w:val="0"/>
                  <w:marRight w:val="0"/>
                  <w:marTop w:val="0"/>
                  <w:marBottom w:val="225"/>
                  <w:divBdr>
                    <w:top w:val="none" w:sz="0" w:space="0" w:color="auto"/>
                    <w:left w:val="none" w:sz="0" w:space="0" w:color="auto"/>
                    <w:bottom w:val="none" w:sz="0" w:space="0" w:color="auto"/>
                    <w:right w:val="none" w:sz="0" w:space="0" w:color="auto"/>
                  </w:divBdr>
                </w:div>
                <w:div w:id="1653174185">
                  <w:marLeft w:val="0"/>
                  <w:marRight w:val="480"/>
                  <w:marTop w:val="150"/>
                  <w:marBottom w:val="0"/>
                  <w:divBdr>
                    <w:top w:val="none" w:sz="0" w:space="0" w:color="auto"/>
                    <w:left w:val="none" w:sz="0" w:space="0" w:color="auto"/>
                    <w:bottom w:val="none" w:sz="0" w:space="0" w:color="auto"/>
                    <w:right w:val="none" w:sz="0" w:space="0" w:color="auto"/>
                  </w:divBdr>
                  <w:divsChild>
                    <w:div w:id="1938948619">
                      <w:marLeft w:val="0"/>
                      <w:marRight w:val="0"/>
                      <w:marTop w:val="150"/>
                      <w:marBottom w:val="0"/>
                      <w:divBdr>
                        <w:top w:val="none" w:sz="0" w:space="0" w:color="auto"/>
                        <w:left w:val="none" w:sz="0" w:space="0" w:color="auto"/>
                        <w:bottom w:val="none" w:sz="0" w:space="0" w:color="auto"/>
                        <w:right w:val="none" w:sz="0" w:space="0" w:color="auto"/>
                      </w:divBdr>
                    </w:div>
                  </w:divsChild>
                </w:div>
                <w:div w:id="1759864829">
                  <w:marLeft w:val="0"/>
                  <w:marRight w:val="0"/>
                  <w:marTop w:val="150"/>
                  <w:marBottom w:val="0"/>
                  <w:divBdr>
                    <w:top w:val="none" w:sz="0" w:space="0" w:color="auto"/>
                    <w:left w:val="none" w:sz="0" w:space="0" w:color="auto"/>
                    <w:bottom w:val="none" w:sz="0" w:space="0" w:color="auto"/>
                    <w:right w:val="none" w:sz="0" w:space="0" w:color="auto"/>
                  </w:divBdr>
                  <w:divsChild>
                    <w:div w:id="12241789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6490784">
              <w:marLeft w:val="0"/>
              <w:marRight w:val="0"/>
              <w:marTop w:val="0"/>
              <w:marBottom w:val="375"/>
              <w:divBdr>
                <w:top w:val="none" w:sz="0" w:space="0" w:color="auto"/>
                <w:left w:val="none" w:sz="0" w:space="0" w:color="auto"/>
                <w:bottom w:val="single" w:sz="6" w:space="19" w:color="D5D7D9"/>
                <w:right w:val="none" w:sz="0" w:space="0" w:color="auto"/>
              </w:divBdr>
              <w:divsChild>
                <w:div w:id="376396306">
                  <w:marLeft w:val="0"/>
                  <w:marRight w:val="0"/>
                  <w:marTop w:val="0"/>
                  <w:marBottom w:val="0"/>
                  <w:divBdr>
                    <w:top w:val="none" w:sz="0" w:space="0" w:color="auto"/>
                    <w:left w:val="none" w:sz="0" w:space="0" w:color="auto"/>
                    <w:bottom w:val="none" w:sz="0" w:space="0" w:color="auto"/>
                    <w:right w:val="none" w:sz="0" w:space="0" w:color="auto"/>
                  </w:divBdr>
                </w:div>
                <w:div w:id="1957828140">
                  <w:marLeft w:val="0"/>
                  <w:marRight w:val="0"/>
                  <w:marTop w:val="0"/>
                  <w:marBottom w:val="225"/>
                  <w:divBdr>
                    <w:top w:val="none" w:sz="0" w:space="0" w:color="auto"/>
                    <w:left w:val="none" w:sz="0" w:space="0" w:color="auto"/>
                    <w:bottom w:val="none" w:sz="0" w:space="0" w:color="auto"/>
                    <w:right w:val="none" w:sz="0" w:space="0" w:color="auto"/>
                  </w:divBdr>
                </w:div>
                <w:div w:id="1922983152">
                  <w:marLeft w:val="0"/>
                  <w:marRight w:val="480"/>
                  <w:marTop w:val="150"/>
                  <w:marBottom w:val="0"/>
                  <w:divBdr>
                    <w:top w:val="none" w:sz="0" w:space="0" w:color="auto"/>
                    <w:left w:val="none" w:sz="0" w:space="0" w:color="auto"/>
                    <w:bottom w:val="none" w:sz="0" w:space="0" w:color="auto"/>
                    <w:right w:val="none" w:sz="0" w:space="0" w:color="auto"/>
                  </w:divBdr>
                  <w:divsChild>
                    <w:div w:id="503276634">
                      <w:marLeft w:val="0"/>
                      <w:marRight w:val="0"/>
                      <w:marTop w:val="150"/>
                      <w:marBottom w:val="0"/>
                      <w:divBdr>
                        <w:top w:val="none" w:sz="0" w:space="0" w:color="auto"/>
                        <w:left w:val="none" w:sz="0" w:space="0" w:color="auto"/>
                        <w:bottom w:val="none" w:sz="0" w:space="0" w:color="auto"/>
                        <w:right w:val="none" w:sz="0" w:space="0" w:color="auto"/>
                      </w:divBdr>
                    </w:div>
                  </w:divsChild>
                </w:div>
                <w:div w:id="2133787911">
                  <w:marLeft w:val="0"/>
                  <w:marRight w:val="0"/>
                  <w:marTop w:val="150"/>
                  <w:marBottom w:val="0"/>
                  <w:divBdr>
                    <w:top w:val="none" w:sz="0" w:space="0" w:color="auto"/>
                    <w:left w:val="none" w:sz="0" w:space="0" w:color="auto"/>
                    <w:bottom w:val="none" w:sz="0" w:space="0" w:color="auto"/>
                    <w:right w:val="none" w:sz="0" w:space="0" w:color="auto"/>
                  </w:divBdr>
                  <w:divsChild>
                    <w:div w:id="20792022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5622692">
              <w:marLeft w:val="0"/>
              <w:marRight w:val="0"/>
              <w:marTop w:val="0"/>
              <w:marBottom w:val="375"/>
              <w:divBdr>
                <w:top w:val="none" w:sz="0" w:space="0" w:color="auto"/>
                <w:left w:val="none" w:sz="0" w:space="0" w:color="auto"/>
                <w:bottom w:val="single" w:sz="6" w:space="19" w:color="D5D7D9"/>
                <w:right w:val="none" w:sz="0" w:space="0" w:color="auto"/>
              </w:divBdr>
              <w:divsChild>
                <w:div w:id="2094818965">
                  <w:marLeft w:val="0"/>
                  <w:marRight w:val="0"/>
                  <w:marTop w:val="0"/>
                  <w:marBottom w:val="0"/>
                  <w:divBdr>
                    <w:top w:val="none" w:sz="0" w:space="0" w:color="auto"/>
                    <w:left w:val="none" w:sz="0" w:space="0" w:color="auto"/>
                    <w:bottom w:val="none" w:sz="0" w:space="0" w:color="auto"/>
                    <w:right w:val="none" w:sz="0" w:space="0" w:color="auto"/>
                  </w:divBdr>
                </w:div>
                <w:div w:id="2076388684">
                  <w:marLeft w:val="0"/>
                  <w:marRight w:val="0"/>
                  <w:marTop w:val="0"/>
                  <w:marBottom w:val="225"/>
                  <w:divBdr>
                    <w:top w:val="none" w:sz="0" w:space="0" w:color="auto"/>
                    <w:left w:val="none" w:sz="0" w:space="0" w:color="auto"/>
                    <w:bottom w:val="none" w:sz="0" w:space="0" w:color="auto"/>
                    <w:right w:val="none" w:sz="0" w:space="0" w:color="auto"/>
                  </w:divBdr>
                </w:div>
                <w:div w:id="1278373858">
                  <w:marLeft w:val="0"/>
                  <w:marRight w:val="480"/>
                  <w:marTop w:val="150"/>
                  <w:marBottom w:val="0"/>
                  <w:divBdr>
                    <w:top w:val="none" w:sz="0" w:space="0" w:color="auto"/>
                    <w:left w:val="none" w:sz="0" w:space="0" w:color="auto"/>
                    <w:bottom w:val="none" w:sz="0" w:space="0" w:color="auto"/>
                    <w:right w:val="none" w:sz="0" w:space="0" w:color="auto"/>
                  </w:divBdr>
                  <w:divsChild>
                    <w:div w:id="1304190531">
                      <w:marLeft w:val="0"/>
                      <w:marRight w:val="0"/>
                      <w:marTop w:val="150"/>
                      <w:marBottom w:val="0"/>
                      <w:divBdr>
                        <w:top w:val="none" w:sz="0" w:space="0" w:color="auto"/>
                        <w:left w:val="none" w:sz="0" w:space="0" w:color="auto"/>
                        <w:bottom w:val="none" w:sz="0" w:space="0" w:color="auto"/>
                        <w:right w:val="none" w:sz="0" w:space="0" w:color="auto"/>
                      </w:divBdr>
                    </w:div>
                  </w:divsChild>
                </w:div>
                <w:div w:id="1055543167">
                  <w:marLeft w:val="0"/>
                  <w:marRight w:val="0"/>
                  <w:marTop w:val="150"/>
                  <w:marBottom w:val="0"/>
                  <w:divBdr>
                    <w:top w:val="none" w:sz="0" w:space="0" w:color="auto"/>
                    <w:left w:val="none" w:sz="0" w:space="0" w:color="auto"/>
                    <w:bottom w:val="none" w:sz="0" w:space="0" w:color="auto"/>
                    <w:right w:val="none" w:sz="0" w:space="0" w:color="auto"/>
                  </w:divBdr>
                  <w:divsChild>
                    <w:div w:id="13859073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37330757">
              <w:marLeft w:val="0"/>
              <w:marRight w:val="0"/>
              <w:marTop w:val="0"/>
              <w:marBottom w:val="375"/>
              <w:divBdr>
                <w:top w:val="none" w:sz="0" w:space="0" w:color="auto"/>
                <w:left w:val="none" w:sz="0" w:space="0" w:color="auto"/>
                <w:bottom w:val="single" w:sz="6" w:space="19" w:color="D5D7D9"/>
                <w:right w:val="none" w:sz="0" w:space="0" w:color="auto"/>
              </w:divBdr>
              <w:divsChild>
                <w:div w:id="549614566">
                  <w:marLeft w:val="0"/>
                  <w:marRight w:val="0"/>
                  <w:marTop w:val="0"/>
                  <w:marBottom w:val="0"/>
                  <w:divBdr>
                    <w:top w:val="none" w:sz="0" w:space="0" w:color="auto"/>
                    <w:left w:val="none" w:sz="0" w:space="0" w:color="auto"/>
                    <w:bottom w:val="none" w:sz="0" w:space="0" w:color="auto"/>
                    <w:right w:val="none" w:sz="0" w:space="0" w:color="auto"/>
                  </w:divBdr>
                </w:div>
                <w:div w:id="1916086355">
                  <w:marLeft w:val="0"/>
                  <w:marRight w:val="0"/>
                  <w:marTop w:val="0"/>
                  <w:marBottom w:val="225"/>
                  <w:divBdr>
                    <w:top w:val="none" w:sz="0" w:space="0" w:color="auto"/>
                    <w:left w:val="none" w:sz="0" w:space="0" w:color="auto"/>
                    <w:bottom w:val="none" w:sz="0" w:space="0" w:color="auto"/>
                    <w:right w:val="none" w:sz="0" w:space="0" w:color="auto"/>
                  </w:divBdr>
                </w:div>
                <w:div w:id="1629319389">
                  <w:marLeft w:val="0"/>
                  <w:marRight w:val="480"/>
                  <w:marTop w:val="150"/>
                  <w:marBottom w:val="0"/>
                  <w:divBdr>
                    <w:top w:val="none" w:sz="0" w:space="0" w:color="auto"/>
                    <w:left w:val="none" w:sz="0" w:space="0" w:color="auto"/>
                    <w:bottom w:val="none" w:sz="0" w:space="0" w:color="auto"/>
                    <w:right w:val="none" w:sz="0" w:space="0" w:color="auto"/>
                  </w:divBdr>
                  <w:divsChild>
                    <w:div w:id="270013047">
                      <w:marLeft w:val="0"/>
                      <w:marRight w:val="0"/>
                      <w:marTop w:val="150"/>
                      <w:marBottom w:val="0"/>
                      <w:divBdr>
                        <w:top w:val="none" w:sz="0" w:space="0" w:color="auto"/>
                        <w:left w:val="none" w:sz="0" w:space="0" w:color="auto"/>
                        <w:bottom w:val="none" w:sz="0" w:space="0" w:color="auto"/>
                        <w:right w:val="none" w:sz="0" w:space="0" w:color="auto"/>
                      </w:divBdr>
                    </w:div>
                  </w:divsChild>
                </w:div>
                <w:div w:id="420763948">
                  <w:marLeft w:val="0"/>
                  <w:marRight w:val="0"/>
                  <w:marTop w:val="150"/>
                  <w:marBottom w:val="0"/>
                  <w:divBdr>
                    <w:top w:val="none" w:sz="0" w:space="0" w:color="auto"/>
                    <w:left w:val="none" w:sz="0" w:space="0" w:color="auto"/>
                    <w:bottom w:val="none" w:sz="0" w:space="0" w:color="auto"/>
                    <w:right w:val="none" w:sz="0" w:space="0" w:color="auto"/>
                  </w:divBdr>
                  <w:divsChild>
                    <w:div w:id="21268031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1800425">
              <w:marLeft w:val="0"/>
              <w:marRight w:val="0"/>
              <w:marTop w:val="0"/>
              <w:marBottom w:val="375"/>
              <w:divBdr>
                <w:top w:val="none" w:sz="0" w:space="0" w:color="auto"/>
                <w:left w:val="none" w:sz="0" w:space="0" w:color="auto"/>
                <w:bottom w:val="single" w:sz="6" w:space="19" w:color="D5D7D9"/>
                <w:right w:val="none" w:sz="0" w:space="0" w:color="auto"/>
              </w:divBdr>
              <w:divsChild>
                <w:div w:id="748774516">
                  <w:marLeft w:val="0"/>
                  <w:marRight w:val="0"/>
                  <w:marTop w:val="0"/>
                  <w:marBottom w:val="0"/>
                  <w:divBdr>
                    <w:top w:val="none" w:sz="0" w:space="0" w:color="auto"/>
                    <w:left w:val="none" w:sz="0" w:space="0" w:color="auto"/>
                    <w:bottom w:val="none" w:sz="0" w:space="0" w:color="auto"/>
                    <w:right w:val="none" w:sz="0" w:space="0" w:color="auto"/>
                  </w:divBdr>
                </w:div>
                <w:div w:id="1231698660">
                  <w:marLeft w:val="0"/>
                  <w:marRight w:val="0"/>
                  <w:marTop w:val="0"/>
                  <w:marBottom w:val="225"/>
                  <w:divBdr>
                    <w:top w:val="none" w:sz="0" w:space="0" w:color="auto"/>
                    <w:left w:val="none" w:sz="0" w:space="0" w:color="auto"/>
                    <w:bottom w:val="none" w:sz="0" w:space="0" w:color="auto"/>
                    <w:right w:val="none" w:sz="0" w:space="0" w:color="auto"/>
                  </w:divBdr>
                </w:div>
                <w:div w:id="580064725">
                  <w:marLeft w:val="0"/>
                  <w:marRight w:val="480"/>
                  <w:marTop w:val="150"/>
                  <w:marBottom w:val="0"/>
                  <w:divBdr>
                    <w:top w:val="none" w:sz="0" w:space="0" w:color="auto"/>
                    <w:left w:val="none" w:sz="0" w:space="0" w:color="auto"/>
                    <w:bottom w:val="none" w:sz="0" w:space="0" w:color="auto"/>
                    <w:right w:val="none" w:sz="0" w:space="0" w:color="auto"/>
                  </w:divBdr>
                  <w:divsChild>
                    <w:div w:id="1577325660">
                      <w:marLeft w:val="0"/>
                      <w:marRight w:val="0"/>
                      <w:marTop w:val="150"/>
                      <w:marBottom w:val="0"/>
                      <w:divBdr>
                        <w:top w:val="none" w:sz="0" w:space="0" w:color="auto"/>
                        <w:left w:val="none" w:sz="0" w:space="0" w:color="auto"/>
                        <w:bottom w:val="none" w:sz="0" w:space="0" w:color="auto"/>
                        <w:right w:val="none" w:sz="0" w:space="0" w:color="auto"/>
                      </w:divBdr>
                    </w:div>
                  </w:divsChild>
                </w:div>
                <w:div w:id="342320676">
                  <w:marLeft w:val="0"/>
                  <w:marRight w:val="0"/>
                  <w:marTop w:val="150"/>
                  <w:marBottom w:val="0"/>
                  <w:divBdr>
                    <w:top w:val="none" w:sz="0" w:space="0" w:color="auto"/>
                    <w:left w:val="none" w:sz="0" w:space="0" w:color="auto"/>
                    <w:bottom w:val="none" w:sz="0" w:space="0" w:color="auto"/>
                    <w:right w:val="none" w:sz="0" w:space="0" w:color="auto"/>
                  </w:divBdr>
                  <w:divsChild>
                    <w:div w:id="5643351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0763618">
              <w:marLeft w:val="0"/>
              <w:marRight w:val="0"/>
              <w:marTop w:val="0"/>
              <w:marBottom w:val="375"/>
              <w:divBdr>
                <w:top w:val="none" w:sz="0" w:space="0" w:color="auto"/>
                <w:left w:val="none" w:sz="0" w:space="0" w:color="auto"/>
                <w:bottom w:val="single" w:sz="6" w:space="19" w:color="D5D7D9"/>
                <w:right w:val="none" w:sz="0" w:space="0" w:color="auto"/>
              </w:divBdr>
              <w:divsChild>
                <w:div w:id="841044254">
                  <w:marLeft w:val="0"/>
                  <w:marRight w:val="0"/>
                  <w:marTop w:val="0"/>
                  <w:marBottom w:val="0"/>
                  <w:divBdr>
                    <w:top w:val="none" w:sz="0" w:space="0" w:color="auto"/>
                    <w:left w:val="none" w:sz="0" w:space="0" w:color="auto"/>
                    <w:bottom w:val="none" w:sz="0" w:space="0" w:color="auto"/>
                    <w:right w:val="none" w:sz="0" w:space="0" w:color="auto"/>
                  </w:divBdr>
                </w:div>
                <w:div w:id="481392915">
                  <w:marLeft w:val="0"/>
                  <w:marRight w:val="0"/>
                  <w:marTop w:val="0"/>
                  <w:marBottom w:val="225"/>
                  <w:divBdr>
                    <w:top w:val="none" w:sz="0" w:space="0" w:color="auto"/>
                    <w:left w:val="none" w:sz="0" w:space="0" w:color="auto"/>
                    <w:bottom w:val="none" w:sz="0" w:space="0" w:color="auto"/>
                    <w:right w:val="none" w:sz="0" w:space="0" w:color="auto"/>
                  </w:divBdr>
                </w:div>
                <w:div w:id="1578128020">
                  <w:marLeft w:val="0"/>
                  <w:marRight w:val="480"/>
                  <w:marTop w:val="150"/>
                  <w:marBottom w:val="0"/>
                  <w:divBdr>
                    <w:top w:val="none" w:sz="0" w:space="0" w:color="auto"/>
                    <w:left w:val="none" w:sz="0" w:space="0" w:color="auto"/>
                    <w:bottom w:val="none" w:sz="0" w:space="0" w:color="auto"/>
                    <w:right w:val="none" w:sz="0" w:space="0" w:color="auto"/>
                  </w:divBdr>
                  <w:divsChild>
                    <w:div w:id="19282804">
                      <w:marLeft w:val="0"/>
                      <w:marRight w:val="0"/>
                      <w:marTop w:val="150"/>
                      <w:marBottom w:val="0"/>
                      <w:divBdr>
                        <w:top w:val="none" w:sz="0" w:space="0" w:color="auto"/>
                        <w:left w:val="none" w:sz="0" w:space="0" w:color="auto"/>
                        <w:bottom w:val="none" w:sz="0" w:space="0" w:color="auto"/>
                        <w:right w:val="none" w:sz="0" w:space="0" w:color="auto"/>
                      </w:divBdr>
                    </w:div>
                  </w:divsChild>
                </w:div>
                <w:div w:id="1131945448">
                  <w:marLeft w:val="0"/>
                  <w:marRight w:val="0"/>
                  <w:marTop w:val="150"/>
                  <w:marBottom w:val="0"/>
                  <w:divBdr>
                    <w:top w:val="none" w:sz="0" w:space="0" w:color="auto"/>
                    <w:left w:val="none" w:sz="0" w:space="0" w:color="auto"/>
                    <w:bottom w:val="none" w:sz="0" w:space="0" w:color="auto"/>
                    <w:right w:val="none" w:sz="0" w:space="0" w:color="auto"/>
                  </w:divBdr>
                  <w:divsChild>
                    <w:div w:id="1489839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1248344">
              <w:marLeft w:val="0"/>
              <w:marRight w:val="0"/>
              <w:marTop w:val="0"/>
              <w:marBottom w:val="375"/>
              <w:divBdr>
                <w:top w:val="none" w:sz="0" w:space="0" w:color="auto"/>
                <w:left w:val="none" w:sz="0" w:space="0" w:color="auto"/>
                <w:bottom w:val="single" w:sz="6" w:space="19" w:color="D5D7D9"/>
                <w:right w:val="none" w:sz="0" w:space="0" w:color="auto"/>
              </w:divBdr>
              <w:divsChild>
                <w:div w:id="658730566">
                  <w:marLeft w:val="0"/>
                  <w:marRight w:val="0"/>
                  <w:marTop w:val="0"/>
                  <w:marBottom w:val="0"/>
                  <w:divBdr>
                    <w:top w:val="none" w:sz="0" w:space="0" w:color="auto"/>
                    <w:left w:val="none" w:sz="0" w:space="0" w:color="auto"/>
                    <w:bottom w:val="none" w:sz="0" w:space="0" w:color="auto"/>
                    <w:right w:val="none" w:sz="0" w:space="0" w:color="auto"/>
                  </w:divBdr>
                </w:div>
                <w:div w:id="350108209">
                  <w:marLeft w:val="0"/>
                  <w:marRight w:val="0"/>
                  <w:marTop w:val="0"/>
                  <w:marBottom w:val="225"/>
                  <w:divBdr>
                    <w:top w:val="none" w:sz="0" w:space="0" w:color="auto"/>
                    <w:left w:val="none" w:sz="0" w:space="0" w:color="auto"/>
                    <w:bottom w:val="none" w:sz="0" w:space="0" w:color="auto"/>
                    <w:right w:val="none" w:sz="0" w:space="0" w:color="auto"/>
                  </w:divBdr>
                </w:div>
                <w:div w:id="814026161">
                  <w:marLeft w:val="0"/>
                  <w:marRight w:val="480"/>
                  <w:marTop w:val="150"/>
                  <w:marBottom w:val="0"/>
                  <w:divBdr>
                    <w:top w:val="none" w:sz="0" w:space="0" w:color="auto"/>
                    <w:left w:val="none" w:sz="0" w:space="0" w:color="auto"/>
                    <w:bottom w:val="none" w:sz="0" w:space="0" w:color="auto"/>
                    <w:right w:val="none" w:sz="0" w:space="0" w:color="auto"/>
                  </w:divBdr>
                  <w:divsChild>
                    <w:div w:id="2131584071">
                      <w:marLeft w:val="0"/>
                      <w:marRight w:val="0"/>
                      <w:marTop w:val="150"/>
                      <w:marBottom w:val="0"/>
                      <w:divBdr>
                        <w:top w:val="none" w:sz="0" w:space="0" w:color="auto"/>
                        <w:left w:val="none" w:sz="0" w:space="0" w:color="auto"/>
                        <w:bottom w:val="none" w:sz="0" w:space="0" w:color="auto"/>
                        <w:right w:val="none" w:sz="0" w:space="0" w:color="auto"/>
                      </w:divBdr>
                    </w:div>
                  </w:divsChild>
                </w:div>
                <w:div w:id="173345898">
                  <w:marLeft w:val="0"/>
                  <w:marRight w:val="0"/>
                  <w:marTop w:val="150"/>
                  <w:marBottom w:val="0"/>
                  <w:divBdr>
                    <w:top w:val="none" w:sz="0" w:space="0" w:color="auto"/>
                    <w:left w:val="none" w:sz="0" w:space="0" w:color="auto"/>
                    <w:bottom w:val="none" w:sz="0" w:space="0" w:color="auto"/>
                    <w:right w:val="none" w:sz="0" w:space="0" w:color="auto"/>
                  </w:divBdr>
                  <w:divsChild>
                    <w:div w:id="1073087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7517841">
              <w:marLeft w:val="0"/>
              <w:marRight w:val="0"/>
              <w:marTop w:val="0"/>
              <w:marBottom w:val="375"/>
              <w:divBdr>
                <w:top w:val="none" w:sz="0" w:space="0" w:color="auto"/>
                <w:left w:val="none" w:sz="0" w:space="0" w:color="auto"/>
                <w:bottom w:val="single" w:sz="6" w:space="19" w:color="D5D7D9"/>
                <w:right w:val="none" w:sz="0" w:space="0" w:color="auto"/>
              </w:divBdr>
              <w:divsChild>
                <w:div w:id="1557857929">
                  <w:marLeft w:val="0"/>
                  <w:marRight w:val="0"/>
                  <w:marTop w:val="0"/>
                  <w:marBottom w:val="0"/>
                  <w:divBdr>
                    <w:top w:val="none" w:sz="0" w:space="0" w:color="auto"/>
                    <w:left w:val="none" w:sz="0" w:space="0" w:color="auto"/>
                    <w:bottom w:val="none" w:sz="0" w:space="0" w:color="auto"/>
                    <w:right w:val="none" w:sz="0" w:space="0" w:color="auto"/>
                  </w:divBdr>
                </w:div>
                <w:div w:id="1219395476">
                  <w:marLeft w:val="0"/>
                  <w:marRight w:val="0"/>
                  <w:marTop w:val="0"/>
                  <w:marBottom w:val="225"/>
                  <w:divBdr>
                    <w:top w:val="none" w:sz="0" w:space="0" w:color="auto"/>
                    <w:left w:val="none" w:sz="0" w:space="0" w:color="auto"/>
                    <w:bottom w:val="none" w:sz="0" w:space="0" w:color="auto"/>
                    <w:right w:val="none" w:sz="0" w:space="0" w:color="auto"/>
                  </w:divBdr>
                </w:div>
                <w:div w:id="198278292">
                  <w:marLeft w:val="0"/>
                  <w:marRight w:val="480"/>
                  <w:marTop w:val="150"/>
                  <w:marBottom w:val="0"/>
                  <w:divBdr>
                    <w:top w:val="none" w:sz="0" w:space="0" w:color="auto"/>
                    <w:left w:val="none" w:sz="0" w:space="0" w:color="auto"/>
                    <w:bottom w:val="none" w:sz="0" w:space="0" w:color="auto"/>
                    <w:right w:val="none" w:sz="0" w:space="0" w:color="auto"/>
                  </w:divBdr>
                  <w:divsChild>
                    <w:div w:id="2116555224">
                      <w:marLeft w:val="0"/>
                      <w:marRight w:val="0"/>
                      <w:marTop w:val="150"/>
                      <w:marBottom w:val="0"/>
                      <w:divBdr>
                        <w:top w:val="none" w:sz="0" w:space="0" w:color="auto"/>
                        <w:left w:val="none" w:sz="0" w:space="0" w:color="auto"/>
                        <w:bottom w:val="none" w:sz="0" w:space="0" w:color="auto"/>
                        <w:right w:val="none" w:sz="0" w:space="0" w:color="auto"/>
                      </w:divBdr>
                    </w:div>
                  </w:divsChild>
                </w:div>
                <w:div w:id="1528790819">
                  <w:marLeft w:val="0"/>
                  <w:marRight w:val="0"/>
                  <w:marTop w:val="150"/>
                  <w:marBottom w:val="0"/>
                  <w:divBdr>
                    <w:top w:val="none" w:sz="0" w:space="0" w:color="auto"/>
                    <w:left w:val="none" w:sz="0" w:space="0" w:color="auto"/>
                    <w:bottom w:val="none" w:sz="0" w:space="0" w:color="auto"/>
                    <w:right w:val="none" w:sz="0" w:space="0" w:color="auto"/>
                  </w:divBdr>
                  <w:divsChild>
                    <w:div w:id="15966653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09691881">
              <w:marLeft w:val="0"/>
              <w:marRight w:val="0"/>
              <w:marTop w:val="0"/>
              <w:marBottom w:val="375"/>
              <w:divBdr>
                <w:top w:val="none" w:sz="0" w:space="0" w:color="auto"/>
                <w:left w:val="none" w:sz="0" w:space="0" w:color="auto"/>
                <w:bottom w:val="single" w:sz="6" w:space="19" w:color="D5D7D9"/>
                <w:right w:val="none" w:sz="0" w:space="0" w:color="auto"/>
              </w:divBdr>
              <w:divsChild>
                <w:div w:id="648947817">
                  <w:marLeft w:val="0"/>
                  <w:marRight w:val="0"/>
                  <w:marTop w:val="0"/>
                  <w:marBottom w:val="0"/>
                  <w:divBdr>
                    <w:top w:val="none" w:sz="0" w:space="0" w:color="auto"/>
                    <w:left w:val="none" w:sz="0" w:space="0" w:color="auto"/>
                    <w:bottom w:val="none" w:sz="0" w:space="0" w:color="auto"/>
                    <w:right w:val="none" w:sz="0" w:space="0" w:color="auto"/>
                  </w:divBdr>
                </w:div>
                <w:div w:id="1199856935">
                  <w:marLeft w:val="0"/>
                  <w:marRight w:val="0"/>
                  <w:marTop w:val="0"/>
                  <w:marBottom w:val="225"/>
                  <w:divBdr>
                    <w:top w:val="none" w:sz="0" w:space="0" w:color="auto"/>
                    <w:left w:val="none" w:sz="0" w:space="0" w:color="auto"/>
                    <w:bottom w:val="none" w:sz="0" w:space="0" w:color="auto"/>
                    <w:right w:val="none" w:sz="0" w:space="0" w:color="auto"/>
                  </w:divBdr>
                </w:div>
                <w:div w:id="222983922">
                  <w:marLeft w:val="0"/>
                  <w:marRight w:val="480"/>
                  <w:marTop w:val="150"/>
                  <w:marBottom w:val="0"/>
                  <w:divBdr>
                    <w:top w:val="none" w:sz="0" w:space="0" w:color="auto"/>
                    <w:left w:val="none" w:sz="0" w:space="0" w:color="auto"/>
                    <w:bottom w:val="none" w:sz="0" w:space="0" w:color="auto"/>
                    <w:right w:val="none" w:sz="0" w:space="0" w:color="auto"/>
                  </w:divBdr>
                  <w:divsChild>
                    <w:div w:id="913928787">
                      <w:marLeft w:val="0"/>
                      <w:marRight w:val="0"/>
                      <w:marTop w:val="150"/>
                      <w:marBottom w:val="0"/>
                      <w:divBdr>
                        <w:top w:val="none" w:sz="0" w:space="0" w:color="auto"/>
                        <w:left w:val="none" w:sz="0" w:space="0" w:color="auto"/>
                        <w:bottom w:val="none" w:sz="0" w:space="0" w:color="auto"/>
                        <w:right w:val="none" w:sz="0" w:space="0" w:color="auto"/>
                      </w:divBdr>
                    </w:div>
                  </w:divsChild>
                </w:div>
                <w:div w:id="1938977394">
                  <w:marLeft w:val="0"/>
                  <w:marRight w:val="0"/>
                  <w:marTop w:val="150"/>
                  <w:marBottom w:val="0"/>
                  <w:divBdr>
                    <w:top w:val="none" w:sz="0" w:space="0" w:color="auto"/>
                    <w:left w:val="none" w:sz="0" w:space="0" w:color="auto"/>
                    <w:bottom w:val="none" w:sz="0" w:space="0" w:color="auto"/>
                    <w:right w:val="none" w:sz="0" w:space="0" w:color="auto"/>
                  </w:divBdr>
                  <w:divsChild>
                    <w:div w:id="1318998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1674784">
              <w:marLeft w:val="0"/>
              <w:marRight w:val="0"/>
              <w:marTop w:val="0"/>
              <w:marBottom w:val="375"/>
              <w:divBdr>
                <w:top w:val="none" w:sz="0" w:space="0" w:color="auto"/>
                <w:left w:val="none" w:sz="0" w:space="0" w:color="auto"/>
                <w:bottom w:val="single" w:sz="6" w:space="19" w:color="D5D7D9"/>
                <w:right w:val="none" w:sz="0" w:space="0" w:color="auto"/>
              </w:divBdr>
              <w:divsChild>
                <w:div w:id="1001273120">
                  <w:marLeft w:val="0"/>
                  <w:marRight w:val="0"/>
                  <w:marTop w:val="0"/>
                  <w:marBottom w:val="0"/>
                  <w:divBdr>
                    <w:top w:val="none" w:sz="0" w:space="0" w:color="auto"/>
                    <w:left w:val="none" w:sz="0" w:space="0" w:color="auto"/>
                    <w:bottom w:val="none" w:sz="0" w:space="0" w:color="auto"/>
                    <w:right w:val="none" w:sz="0" w:space="0" w:color="auto"/>
                  </w:divBdr>
                </w:div>
                <w:div w:id="1670988103">
                  <w:marLeft w:val="0"/>
                  <w:marRight w:val="0"/>
                  <w:marTop w:val="0"/>
                  <w:marBottom w:val="225"/>
                  <w:divBdr>
                    <w:top w:val="none" w:sz="0" w:space="0" w:color="auto"/>
                    <w:left w:val="none" w:sz="0" w:space="0" w:color="auto"/>
                    <w:bottom w:val="none" w:sz="0" w:space="0" w:color="auto"/>
                    <w:right w:val="none" w:sz="0" w:space="0" w:color="auto"/>
                  </w:divBdr>
                </w:div>
                <w:div w:id="1951815899">
                  <w:marLeft w:val="0"/>
                  <w:marRight w:val="480"/>
                  <w:marTop w:val="150"/>
                  <w:marBottom w:val="0"/>
                  <w:divBdr>
                    <w:top w:val="none" w:sz="0" w:space="0" w:color="auto"/>
                    <w:left w:val="none" w:sz="0" w:space="0" w:color="auto"/>
                    <w:bottom w:val="none" w:sz="0" w:space="0" w:color="auto"/>
                    <w:right w:val="none" w:sz="0" w:space="0" w:color="auto"/>
                  </w:divBdr>
                  <w:divsChild>
                    <w:div w:id="1601832680">
                      <w:marLeft w:val="0"/>
                      <w:marRight w:val="0"/>
                      <w:marTop w:val="150"/>
                      <w:marBottom w:val="0"/>
                      <w:divBdr>
                        <w:top w:val="none" w:sz="0" w:space="0" w:color="auto"/>
                        <w:left w:val="none" w:sz="0" w:space="0" w:color="auto"/>
                        <w:bottom w:val="none" w:sz="0" w:space="0" w:color="auto"/>
                        <w:right w:val="none" w:sz="0" w:space="0" w:color="auto"/>
                      </w:divBdr>
                    </w:div>
                  </w:divsChild>
                </w:div>
                <w:div w:id="952327749">
                  <w:marLeft w:val="0"/>
                  <w:marRight w:val="0"/>
                  <w:marTop w:val="150"/>
                  <w:marBottom w:val="0"/>
                  <w:divBdr>
                    <w:top w:val="none" w:sz="0" w:space="0" w:color="auto"/>
                    <w:left w:val="none" w:sz="0" w:space="0" w:color="auto"/>
                    <w:bottom w:val="none" w:sz="0" w:space="0" w:color="auto"/>
                    <w:right w:val="none" w:sz="0" w:space="0" w:color="auto"/>
                  </w:divBdr>
                  <w:divsChild>
                    <w:div w:id="16409596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41746517">
              <w:marLeft w:val="0"/>
              <w:marRight w:val="0"/>
              <w:marTop w:val="0"/>
              <w:marBottom w:val="375"/>
              <w:divBdr>
                <w:top w:val="none" w:sz="0" w:space="0" w:color="auto"/>
                <w:left w:val="none" w:sz="0" w:space="0" w:color="auto"/>
                <w:bottom w:val="single" w:sz="6" w:space="19" w:color="D5D7D9"/>
                <w:right w:val="none" w:sz="0" w:space="0" w:color="auto"/>
              </w:divBdr>
              <w:divsChild>
                <w:div w:id="2124570298">
                  <w:marLeft w:val="0"/>
                  <w:marRight w:val="0"/>
                  <w:marTop w:val="0"/>
                  <w:marBottom w:val="0"/>
                  <w:divBdr>
                    <w:top w:val="none" w:sz="0" w:space="0" w:color="auto"/>
                    <w:left w:val="none" w:sz="0" w:space="0" w:color="auto"/>
                    <w:bottom w:val="none" w:sz="0" w:space="0" w:color="auto"/>
                    <w:right w:val="none" w:sz="0" w:space="0" w:color="auto"/>
                  </w:divBdr>
                </w:div>
                <w:div w:id="617297382">
                  <w:marLeft w:val="0"/>
                  <w:marRight w:val="0"/>
                  <w:marTop w:val="0"/>
                  <w:marBottom w:val="225"/>
                  <w:divBdr>
                    <w:top w:val="none" w:sz="0" w:space="0" w:color="auto"/>
                    <w:left w:val="none" w:sz="0" w:space="0" w:color="auto"/>
                    <w:bottom w:val="none" w:sz="0" w:space="0" w:color="auto"/>
                    <w:right w:val="none" w:sz="0" w:space="0" w:color="auto"/>
                  </w:divBdr>
                </w:div>
                <w:div w:id="1249970823">
                  <w:marLeft w:val="0"/>
                  <w:marRight w:val="480"/>
                  <w:marTop w:val="150"/>
                  <w:marBottom w:val="0"/>
                  <w:divBdr>
                    <w:top w:val="none" w:sz="0" w:space="0" w:color="auto"/>
                    <w:left w:val="none" w:sz="0" w:space="0" w:color="auto"/>
                    <w:bottom w:val="none" w:sz="0" w:space="0" w:color="auto"/>
                    <w:right w:val="none" w:sz="0" w:space="0" w:color="auto"/>
                  </w:divBdr>
                  <w:divsChild>
                    <w:div w:id="1100561501">
                      <w:marLeft w:val="0"/>
                      <w:marRight w:val="0"/>
                      <w:marTop w:val="150"/>
                      <w:marBottom w:val="0"/>
                      <w:divBdr>
                        <w:top w:val="none" w:sz="0" w:space="0" w:color="auto"/>
                        <w:left w:val="none" w:sz="0" w:space="0" w:color="auto"/>
                        <w:bottom w:val="none" w:sz="0" w:space="0" w:color="auto"/>
                        <w:right w:val="none" w:sz="0" w:space="0" w:color="auto"/>
                      </w:divBdr>
                    </w:div>
                  </w:divsChild>
                </w:div>
                <w:div w:id="1674214586">
                  <w:marLeft w:val="0"/>
                  <w:marRight w:val="0"/>
                  <w:marTop w:val="150"/>
                  <w:marBottom w:val="0"/>
                  <w:divBdr>
                    <w:top w:val="none" w:sz="0" w:space="0" w:color="auto"/>
                    <w:left w:val="none" w:sz="0" w:space="0" w:color="auto"/>
                    <w:bottom w:val="none" w:sz="0" w:space="0" w:color="auto"/>
                    <w:right w:val="none" w:sz="0" w:space="0" w:color="auto"/>
                  </w:divBdr>
                  <w:divsChild>
                    <w:div w:id="2036033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33824796">
              <w:marLeft w:val="0"/>
              <w:marRight w:val="0"/>
              <w:marTop w:val="0"/>
              <w:marBottom w:val="375"/>
              <w:divBdr>
                <w:top w:val="none" w:sz="0" w:space="0" w:color="auto"/>
                <w:left w:val="none" w:sz="0" w:space="0" w:color="auto"/>
                <w:bottom w:val="single" w:sz="6" w:space="19" w:color="D5D7D9"/>
                <w:right w:val="none" w:sz="0" w:space="0" w:color="auto"/>
              </w:divBdr>
              <w:divsChild>
                <w:div w:id="455635501">
                  <w:marLeft w:val="0"/>
                  <w:marRight w:val="0"/>
                  <w:marTop w:val="0"/>
                  <w:marBottom w:val="0"/>
                  <w:divBdr>
                    <w:top w:val="none" w:sz="0" w:space="0" w:color="auto"/>
                    <w:left w:val="none" w:sz="0" w:space="0" w:color="auto"/>
                    <w:bottom w:val="none" w:sz="0" w:space="0" w:color="auto"/>
                    <w:right w:val="none" w:sz="0" w:space="0" w:color="auto"/>
                  </w:divBdr>
                </w:div>
                <w:div w:id="1170678584">
                  <w:marLeft w:val="0"/>
                  <w:marRight w:val="0"/>
                  <w:marTop w:val="0"/>
                  <w:marBottom w:val="225"/>
                  <w:divBdr>
                    <w:top w:val="none" w:sz="0" w:space="0" w:color="auto"/>
                    <w:left w:val="none" w:sz="0" w:space="0" w:color="auto"/>
                    <w:bottom w:val="none" w:sz="0" w:space="0" w:color="auto"/>
                    <w:right w:val="none" w:sz="0" w:space="0" w:color="auto"/>
                  </w:divBdr>
                </w:div>
                <w:div w:id="1622498118">
                  <w:marLeft w:val="0"/>
                  <w:marRight w:val="480"/>
                  <w:marTop w:val="150"/>
                  <w:marBottom w:val="0"/>
                  <w:divBdr>
                    <w:top w:val="none" w:sz="0" w:space="0" w:color="auto"/>
                    <w:left w:val="none" w:sz="0" w:space="0" w:color="auto"/>
                    <w:bottom w:val="none" w:sz="0" w:space="0" w:color="auto"/>
                    <w:right w:val="none" w:sz="0" w:space="0" w:color="auto"/>
                  </w:divBdr>
                  <w:divsChild>
                    <w:div w:id="879249138">
                      <w:marLeft w:val="0"/>
                      <w:marRight w:val="0"/>
                      <w:marTop w:val="150"/>
                      <w:marBottom w:val="0"/>
                      <w:divBdr>
                        <w:top w:val="none" w:sz="0" w:space="0" w:color="auto"/>
                        <w:left w:val="none" w:sz="0" w:space="0" w:color="auto"/>
                        <w:bottom w:val="none" w:sz="0" w:space="0" w:color="auto"/>
                        <w:right w:val="none" w:sz="0" w:space="0" w:color="auto"/>
                      </w:divBdr>
                    </w:div>
                  </w:divsChild>
                </w:div>
                <w:div w:id="255141205">
                  <w:marLeft w:val="0"/>
                  <w:marRight w:val="0"/>
                  <w:marTop w:val="150"/>
                  <w:marBottom w:val="0"/>
                  <w:divBdr>
                    <w:top w:val="none" w:sz="0" w:space="0" w:color="auto"/>
                    <w:left w:val="none" w:sz="0" w:space="0" w:color="auto"/>
                    <w:bottom w:val="none" w:sz="0" w:space="0" w:color="auto"/>
                    <w:right w:val="none" w:sz="0" w:space="0" w:color="auto"/>
                  </w:divBdr>
                  <w:divsChild>
                    <w:div w:id="6025677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10838121">
              <w:marLeft w:val="0"/>
              <w:marRight w:val="0"/>
              <w:marTop w:val="0"/>
              <w:marBottom w:val="375"/>
              <w:divBdr>
                <w:top w:val="none" w:sz="0" w:space="0" w:color="auto"/>
                <w:left w:val="none" w:sz="0" w:space="0" w:color="auto"/>
                <w:bottom w:val="single" w:sz="6" w:space="19" w:color="D5D7D9"/>
                <w:right w:val="none" w:sz="0" w:space="0" w:color="auto"/>
              </w:divBdr>
              <w:divsChild>
                <w:div w:id="2091849436">
                  <w:marLeft w:val="0"/>
                  <w:marRight w:val="0"/>
                  <w:marTop w:val="0"/>
                  <w:marBottom w:val="0"/>
                  <w:divBdr>
                    <w:top w:val="none" w:sz="0" w:space="0" w:color="auto"/>
                    <w:left w:val="none" w:sz="0" w:space="0" w:color="auto"/>
                    <w:bottom w:val="none" w:sz="0" w:space="0" w:color="auto"/>
                    <w:right w:val="none" w:sz="0" w:space="0" w:color="auto"/>
                  </w:divBdr>
                </w:div>
                <w:div w:id="82654991">
                  <w:marLeft w:val="0"/>
                  <w:marRight w:val="0"/>
                  <w:marTop w:val="0"/>
                  <w:marBottom w:val="225"/>
                  <w:divBdr>
                    <w:top w:val="none" w:sz="0" w:space="0" w:color="auto"/>
                    <w:left w:val="none" w:sz="0" w:space="0" w:color="auto"/>
                    <w:bottom w:val="none" w:sz="0" w:space="0" w:color="auto"/>
                    <w:right w:val="none" w:sz="0" w:space="0" w:color="auto"/>
                  </w:divBdr>
                </w:div>
                <w:div w:id="1727025216">
                  <w:marLeft w:val="0"/>
                  <w:marRight w:val="480"/>
                  <w:marTop w:val="150"/>
                  <w:marBottom w:val="0"/>
                  <w:divBdr>
                    <w:top w:val="none" w:sz="0" w:space="0" w:color="auto"/>
                    <w:left w:val="none" w:sz="0" w:space="0" w:color="auto"/>
                    <w:bottom w:val="none" w:sz="0" w:space="0" w:color="auto"/>
                    <w:right w:val="none" w:sz="0" w:space="0" w:color="auto"/>
                  </w:divBdr>
                  <w:divsChild>
                    <w:div w:id="1413044369">
                      <w:marLeft w:val="0"/>
                      <w:marRight w:val="0"/>
                      <w:marTop w:val="150"/>
                      <w:marBottom w:val="0"/>
                      <w:divBdr>
                        <w:top w:val="none" w:sz="0" w:space="0" w:color="auto"/>
                        <w:left w:val="none" w:sz="0" w:space="0" w:color="auto"/>
                        <w:bottom w:val="none" w:sz="0" w:space="0" w:color="auto"/>
                        <w:right w:val="none" w:sz="0" w:space="0" w:color="auto"/>
                      </w:divBdr>
                    </w:div>
                  </w:divsChild>
                </w:div>
                <w:div w:id="553397786">
                  <w:marLeft w:val="0"/>
                  <w:marRight w:val="0"/>
                  <w:marTop w:val="150"/>
                  <w:marBottom w:val="0"/>
                  <w:divBdr>
                    <w:top w:val="none" w:sz="0" w:space="0" w:color="auto"/>
                    <w:left w:val="none" w:sz="0" w:space="0" w:color="auto"/>
                    <w:bottom w:val="none" w:sz="0" w:space="0" w:color="auto"/>
                    <w:right w:val="none" w:sz="0" w:space="0" w:color="auto"/>
                  </w:divBdr>
                  <w:divsChild>
                    <w:div w:id="1356226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alambocpa.com" TargetMode="External"/><Relationship Id="rId4" Type="http://schemas.openxmlformats.org/officeDocument/2006/relationships/hyperlink" Target="mailto:chilobe@kalamboc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Chilobe Kalambo</dc:creator>
  <cp:keywords/>
  <dc:description/>
  <cp:lastModifiedBy>Chilobe Kalambo</cp:lastModifiedBy>
  <cp:revision>5</cp:revision>
  <dcterms:created xsi:type="dcterms:W3CDTF">2018-01-09T15:41:00Z</dcterms:created>
  <dcterms:modified xsi:type="dcterms:W3CDTF">2018-01-09T16:41:00Z</dcterms:modified>
</cp:coreProperties>
</file>